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方正小标宋_GBK" w:eastAsia="方正小标宋_GBK"/>
          <w:sz w:val="72"/>
          <w:szCs w:val="72"/>
        </w:rPr>
      </w:pPr>
      <w:r>
        <w:rPr>
          <w:rFonts w:hint="eastAsia" w:ascii="方正小标宋_GBK" w:eastAsia="方正小标宋_GBK"/>
          <w:sz w:val="72"/>
          <w:szCs w:val="72"/>
        </w:rPr>
        <w:t>2021年度</w:t>
      </w:r>
    </w:p>
    <w:p>
      <w:pPr>
        <w:pStyle w:val="10"/>
        <w:jc w:val="center"/>
        <w:rPr>
          <w:rFonts w:hint="eastAsia" w:ascii="方正小标宋_GBK" w:eastAsia="方正小标宋_GBK"/>
          <w:sz w:val="72"/>
          <w:szCs w:val="72"/>
        </w:rPr>
      </w:pPr>
      <w:r>
        <w:rPr>
          <w:rFonts w:hint="eastAsia" w:ascii="方正小标宋_GBK" w:eastAsia="方正小标宋_GBK"/>
          <w:sz w:val="72"/>
          <w:szCs w:val="72"/>
        </w:rPr>
        <w:t>湖南永州国家农业科技园区管理委员会部门决算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spacing w:line="540" w:lineRule="exact"/>
        <w:rPr>
          <w:sz w:val="56"/>
          <w:szCs w:val="56"/>
        </w:rPr>
      </w:pPr>
    </w:p>
    <w:p>
      <w:pPr>
        <w:pStyle w:val="10"/>
        <w:spacing w:line="540" w:lineRule="exact"/>
        <w:rPr>
          <w:sz w:val="56"/>
          <w:szCs w:val="56"/>
        </w:rPr>
      </w:pPr>
    </w:p>
    <w:p>
      <w:pPr>
        <w:pStyle w:val="10"/>
        <w:spacing w:line="540" w:lineRule="exact"/>
        <w:rPr>
          <w:sz w:val="56"/>
          <w:szCs w:val="56"/>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480" w:lineRule="exact"/>
        <w:rPr>
          <w:rFonts w:hint="eastAsia" w:ascii="楷体_GB2312" w:hAnsi="仿宋" w:eastAsia="楷体_GB2312" w:cs="仿宋_GB2312"/>
          <w:b/>
          <w:sz w:val="32"/>
          <w:szCs w:val="32"/>
        </w:rPr>
      </w:pPr>
      <w:r>
        <w:rPr>
          <w:rFonts w:hint="eastAsia" w:ascii="楷体_GB2312" w:hAnsi="仿宋" w:eastAsia="楷体_GB2312"/>
          <w:b/>
          <w:sz w:val="32"/>
          <w:szCs w:val="32"/>
        </w:rPr>
        <w:t>第一部分 湖南永州国家农业科技园区管理委员会概况</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一、部门职责</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二、机构设置</w:t>
      </w:r>
    </w:p>
    <w:p>
      <w:pPr>
        <w:pStyle w:val="10"/>
        <w:spacing w:line="480" w:lineRule="exact"/>
        <w:rPr>
          <w:rFonts w:hint="eastAsia" w:ascii="楷体_GB2312" w:hAnsi="仿宋" w:eastAsia="楷体_GB2312"/>
          <w:b/>
          <w:sz w:val="32"/>
          <w:szCs w:val="32"/>
        </w:rPr>
      </w:pPr>
      <w:r>
        <w:rPr>
          <w:rFonts w:hint="eastAsia" w:ascii="楷体_GB2312" w:hAnsi="仿宋" w:eastAsia="楷体_GB2312"/>
          <w:b/>
          <w:sz w:val="32"/>
          <w:szCs w:val="32"/>
        </w:rPr>
        <w:t>第二部分 湖南永州国家农业科技园区管理委员会2021年度部门决算表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一、收入支出决算总表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二、收入决算表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三、支出决算表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四、财政拨款收入支出决算总表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五、一般公共预算财政拨款支出决算表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六、一般公共预算财政拨款基本支出决算明细表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七、一般公共预算财政拨款“三公”经费支出决算表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八、政府性基金预算财政拨款收入支出决算表</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九、国有资本经营预算财政拨款支出决算表</w:t>
      </w:r>
    </w:p>
    <w:p>
      <w:pPr>
        <w:pStyle w:val="10"/>
        <w:spacing w:line="480" w:lineRule="exact"/>
        <w:rPr>
          <w:rFonts w:hint="eastAsia" w:ascii="楷体_GB2312" w:hAnsi="仿宋" w:eastAsia="楷体_GB2312"/>
          <w:b/>
          <w:sz w:val="32"/>
          <w:szCs w:val="32"/>
        </w:rPr>
      </w:pPr>
      <w:r>
        <w:rPr>
          <w:rFonts w:hint="eastAsia" w:ascii="楷体_GB2312" w:hAnsi="仿宋" w:eastAsia="楷体_GB2312"/>
          <w:b/>
          <w:sz w:val="32"/>
          <w:szCs w:val="32"/>
        </w:rPr>
        <w:t>第三部分 湖南永州国家农业科技园区管理委员会2021年度部门决算情况说明</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一、收入支出决算总体情况说明</w:t>
      </w:r>
    </w:p>
    <w:p>
      <w:pPr>
        <w:spacing w:line="480" w:lineRule="exact"/>
        <w:ind w:firstLine="800" w:firstLineChars="250"/>
        <w:jc w:val="left"/>
        <w:rPr>
          <w:rFonts w:hint="eastAsia" w:ascii="仿宋_GB2312" w:hAnsi="仿宋" w:eastAsia="仿宋_GB2312" w:cs="仿宋_GB2312"/>
          <w:sz w:val="32"/>
          <w:szCs w:val="32"/>
        </w:rPr>
      </w:pPr>
      <w:r>
        <w:rPr>
          <w:rFonts w:hint="eastAsia" w:ascii="仿宋_GB2312" w:hAnsi="仿宋" w:eastAsia="仿宋_GB2312" w:cs="仿宋_GB2312"/>
          <w:sz w:val="32"/>
          <w:szCs w:val="32"/>
        </w:rPr>
        <w:t>二、收入决算情况说明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三、支出决算情况说明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四、财政拨款收入支出决算总体情况说明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五、一般公共预算财政拨款支出决算情况说明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六、一般公共预算财政拨款基本支出决算情况说明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七、一般公共预算财政拨款“三公”经费支出决算情况说明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八、政府性基金预算收入支出决算情况</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九、机关运行经费支出说明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十、一般性支出情况说明</w:t>
      </w:r>
    </w:p>
    <w:p>
      <w:pPr>
        <w:autoSpaceDE w:val="0"/>
        <w:autoSpaceDN w:val="0"/>
        <w:adjustRightInd w:val="0"/>
        <w:spacing w:line="480" w:lineRule="exact"/>
        <w:ind w:firstLine="800" w:firstLineChars="250"/>
        <w:jc w:val="left"/>
        <w:rPr>
          <w:rFonts w:hint="eastAsia"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十一、政府采购支出说明</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十二、国有资产占用情况说明</w:t>
      </w:r>
    </w:p>
    <w:p>
      <w:pPr>
        <w:pStyle w:val="10"/>
        <w:spacing w:line="480" w:lineRule="exact"/>
        <w:ind w:firstLine="800" w:firstLineChars="250"/>
        <w:rPr>
          <w:rFonts w:hint="eastAsia" w:ascii="仿宋_GB2312" w:hAnsi="仿宋" w:eastAsia="仿宋_GB2312" w:cs="仿宋_GB2312"/>
          <w:sz w:val="32"/>
          <w:szCs w:val="32"/>
        </w:rPr>
      </w:pPr>
      <w:r>
        <w:rPr>
          <w:rFonts w:hint="eastAsia" w:ascii="仿宋_GB2312" w:hAnsi="仿宋" w:eastAsia="仿宋_GB2312" w:cs="仿宋_GB2312"/>
          <w:sz w:val="32"/>
          <w:szCs w:val="32"/>
        </w:rPr>
        <w:t>十三、2021年度预算绩效情况说明</w:t>
      </w:r>
    </w:p>
    <w:p>
      <w:pPr>
        <w:pStyle w:val="10"/>
        <w:spacing w:line="480" w:lineRule="exact"/>
        <w:rPr>
          <w:rFonts w:ascii="楷体_GB2312" w:hAnsi="仿宋" w:eastAsia="楷体_GB2312"/>
          <w:b/>
          <w:sz w:val="32"/>
          <w:szCs w:val="32"/>
        </w:rPr>
      </w:pPr>
      <w:r>
        <w:rPr>
          <w:rFonts w:ascii="楷体_GB2312" w:hAnsi="仿宋" w:eastAsia="楷体_GB2312"/>
          <w:b/>
          <w:sz w:val="32"/>
          <w:szCs w:val="32"/>
        </w:rPr>
        <w:t>第四部分</w:t>
      </w:r>
      <w:r>
        <w:rPr>
          <w:rFonts w:hint="eastAsia" w:ascii="楷体_GB2312" w:hAnsi="仿宋" w:eastAsia="楷体_GB2312"/>
          <w:b/>
          <w:sz w:val="32"/>
          <w:szCs w:val="32"/>
        </w:rPr>
        <w:t xml:space="preserve"> </w:t>
      </w:r>
      <w:r>
        <w:rPr>
          <w:rFonts w:ascii="楷体_GB2312" w:hAnsi="仿宋" w:eastAsia="楷体_GB2312"/>
          <w:b/>
          <w:sz w:val="32"/>
          <w:szCs w:val="32"/>
        </w:rPr>
        <w:t>名词解释</w:t>
      </w:r>
    </w:p>
    <w:p>
      <w:pPr>
        <w:pStyle w:val="10"/>
        <w:spacing w:line="480" w:lineRule="exact"/>
        <w:rPr>
          <w:rFonts w:ascii="楷体_GB2312" w:hAnsi="仿宋" w:eastAsia="楷体_GB2312"/>
          <w:b/>
          <w:sz w:val="32"/>
          <w:szCs w:val="32"/>
        </w:rPr>
      </w:pPr>
      <w:r>
        <w:rPr>
          <w:rFonts w:hint="eastAsia" w:ascii="楷体_GB2312" w:hAnsi="仿宋" w:eastAsia="楷体_GB2312"/>
          <w:b/>
          <w:sz w:val="32"/>
          <w:szCs w:val="32"/>
        </w:rPr>
        <w:t>第五部分 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rFonts w:ascii="方正小标宋_GBK" w:eastAsia="方正小标宋_GBK"/>
          <w:sz w:val="72"/>
          <w:szCs w:val="72"/>
        </w:rPr>
      </w:pPr>
      <w:r>
        <w:rPr>
          <w:rFonts w:hint="eastAsia" w:ascii="方正小标宋_GBK" w:eastAsia="方正小标宋_GBK"/>
          <w:sz w:val="72"/>
          <w:szCs w:val="72"/>
        </w:rPr>
        <w:t>第一部分</w:t>
      </w:r>
      <w:r>
        <w:rPr>
          <w:rFonts w:ascii="方正小标宋_GBK" w:eastAsia="方正小标宋_GBK"/>
          <w:sz w:val="72"/>
          <w:szCs w:val="72"/>
        </w:rPr>
        <w:t xml:space="preserve"> </w:t>
      </w:r>
    </w:p>
    <w:p>
      <w:pPr>
        <w:pStyle w:val="10"/>
        <w:jc w:val="center"/>
        <w:rPr>
          <w:rFonts w:ascii="方正小标宋_GBK" w:eastAsia="方正小标宋_GBK"/>
          <w:sz w:val="72"/>
          <w:szCs w:val="72"/>
        </w:rPr>
      </w:pPr>
      <w:r>
        <w:rPr>
          <w:rFonts w:hint="eastAsia" w:ascii="方正小标宋_GBK" w:eastAsia="方正小标宋_GBK"/>
          <w:sz w:val="72"/>
          <w:szCs w:val="72"/>
        </w:rPr>
        <w:t>湖南永州国家农业科技园区管理委员会概况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spacing w:line="640" w:lineRule="exact"/>
        <w:ind w:left="1146" w:firstLine="0" w:firstLineChars="0"/>
        <w:jc w:val="left"/>
        <w:rPr>
          <w:rFonts w:hint="eastAsia" w:asciiTheme="minorEastAsia" w:hAnsiTheme="minorEastAsia"/>
          <w:sz w:val="32"/>
          <w:szCs w:val="32"/>
        </w:rPr>
      </w:pPr>
    </w:p>
    <w:p>
      <w:pPr>
        <w:pStyle w:val="11"/>
        <w:numPr>
          <w:ilvl w:val="0"/>
          <w:numId w:val="1"/>
        </w:numPr>
        <w:spacing w:line="780" w:lineRule="exact"/>
        <w:ind w:firstLineChars="0"/>
        <w:rPr>
          <w:rFonts w:ascii="黑体" w:hAnsi="黑体" w:eastAsia="黑体" w:cs="仿宋_GB2312"/>
          <w:color w:val="000000"/>
          <w:kern w:val="0"/>
          <w:sz w:val="32"/>
          <w:szCs w:val="32"/>
        </w:rPr>
      </w:pPr>
      <w:r>
        <w:rPr>
          <w:rFonts w:ascii="黑体" w:hAnsi="黑体" w:eastAsia="黑体" w:cs="仿宋_GB2312"/>
          <w:color w:val="000000"/>
          <w:kern w:val="0"/>
          <w:sz w:val="32"/>
          <w:szCs w:val="32"/>
        </w:rPr>
        <w:t>部门职责</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根据《关于湖南永州国家农业科技园区管理委员会的批复》（湘编办复字〔2015〕56号）和《中共永州市委常委办公会议纪要》（2016第6期）精神，本部门的主要工作职责是：</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 xml:space="preserve"> (1)负责国家、省有关农业科技园区发展的法律、法规和政策的贯彻实施,落实市委、市政府的重要决策和工作部署。</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(2)根据全市国民经济和社会发展规划、土地利用总体规划,负责编制园区中长期发展规划和年度工作计划,经批准后组织实施。</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(3)负责园区农业科技成果、先进实用技术的引进、示范创新和推广,推进优质农产品标准化和产业化建设。</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(4)负责组织园区各类科技项目申报、实施和农业高新技术企业的申报以及科技成果鉴定、验收、奖励。</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(5)负责园区基础设施规划、建设和管理。</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(6)负贵园区建设融资和招商引资工作。</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(7)负责园区与各类科研机构(院校)开展合作交流,加强各类专业技术人才的引进、培训、培养工作。</w:t>
      </w:r>
    </w:p>
    <w:p>
      <w:pPr>
        <w:pStyle w:val="11"/>
        <w:adjustRightInd w:val="0"/>
        <w:snapToGrid w:val="0"/>
        <w:spacing w:line="780" w:lineRule="exact"/>
        <w:ind w:firstLine="64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(8)负贵园区党务、群团、人事、人才、统计、审计、财务、国有资产管理、人力资源和社会保障、社会管理综合治理、安全生产监督、环境卫生等工作。</w:t>
      </w:r>
    </w:p>
    <w:p>
      <w:pPr>
        <w:spacing w:line="780" w:lineRule="exact"/>
        <w:ind w:firstLine="640" w:firstLineChars="20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二、机构设置及决算单位构成</w:t>
      </w:r>
    </w:p>
    <w:p>
      <w:pPr>
        <w:widowControl/>
        <w:spacing w:line="780" w:lineRule="exact"/>
        <w:ind w:firstLine="640" w:firstLineChars="200"/>
        <w:rPr>
          <w:rFonts w:ascii="仿宋_GB2312" w:hAnsi="仿宋" w:eastAsia="仿宋_GB2312" w:cs="仿宋_GB2312"/>
          <w:color w:val="000000"/>
          <w:kern w:val="0"/>
          <w:sz w:val="32"/>
          <w:szCs w:val="32"/>
        </w:rPr>
      </w:pPr>
      <w:r>
        <w:rPr>
          <w:rFonts w:hint="eastAsia" w:ascii="楷体_GB2312" w:hAnsi="仿宋" w:eastAsia="楷体_GB2312" w:cs="仿宋_GB2312"/>
          <w:color w:val="000000"/>
          <w:kern w:val="0"/>
          <w:sz w:val="32"/>
          <w:szCs w:val="32"/>
        </w:rPr>
        <w:t>（一）内设机构设置。</w:t>
      </w:r>
      <w:r>
        <w:rPr>
          <w:rFonts w:hint="eastAsia" w:ascii="仿宋_GB2312" w:hAnsi="仿宋" w:eastAsia="仿宋_GB2312" w:cs="仿宋_GB2312"/>
          <w:color w:val="000000"/>
          <w:kern w:val="0"/>
          <w:sz w:val="32"/>
          <w:szCs w:val="32"/>
        </w:rPr>
        <w:t>湖南永州国家农业科技园区管理委员会内设机构包括：党政办公室（加挂审计局牌子）、农业科技局（加挂林业局、水利局牌子）、招商合作局、经济发展局（加挂安全生产监督管理局牌子）、规划建设环保局（加挂交通局牌子）、财政局、组织人社局（加挂宣传统战部牌子）、纪检监察室等8个工作机构。</w:t>
      </w:r>
    </w:p>
    <w:p>
      <w:pPr>
        <w:widowControl/>
        <w:spacing w:line="780" w:lineRule="exact"/>
        <w:ind w:firstLine="640" w:firstLineChars="200"/>
        <w:rPr>
          <w:rFonts w:ascii="仿宋_GB2312" w:hAnsi="仿宋" w:eastAsia="仿宋_GB2312" w:cs="仿宋_GB2312"/>
          <w:color w:val="000000"/>
          <w:kern w:val="0"/>
          <w:sz w:val="32"/>
          <w:szCs w:val="32"/>
        </w:rPr>
      </w:pPr>
      <w:r>
        <w:rPr>
          <w:rFonts w:hint="eastAsia" w:ascii="楷体_GB2312" w:hAnsi="仿宋" w:eastAsia="楷体_GB2312" w:cs="仿宋_GB2312"/>
          <w:color w:val="000000"/>
          <w:kern w:val="0"/>
          <w:sz w:val="32"/>
          <w:szCs w:val="32"/>
        </w:rPr>
        <w:t>（二）决算单位构成。</w:t>
      </w:r>
      <w:r>
        <w:rPr>
          <w:rFonts w:hint="eastAsia" w:ascii="仿宋_GB2312" w:hAnsi="仿宋" w:eastAsia="仿宋_GB2312" w:cs="仿宋_GB2312"/>
          <w:color w:val="000000"/>
          <w:kern w:val="0"/>
          <w:sz w:val="32"/>
          <w:szCs w:val="32"/>
        </w:rPr>
        <w:t>湖南永州国家农业科技园区管理委员会</w:t>
      </w:r>
      <w:r>
        <w:rPr>
          <w:rFonts w:ascii="仿宋_GB2312" w:hAnsi="仿宋" w:eastAsia="仿宋_GB2312" w:cs="仿宋_GB2312"/>
          <w:color w:val="000000"/>
          <w:kern w:val="0"/>
          <w:sz w:val="32"/>
          <w:szCs w:val="32"/>
        </w:rPr>
        <w:t>20</w:t>
      </w:r>
      <w:r>
        <w:rPr>
          <w:rFonts w:hint="eastAsia" w:ascii="仿宋_GB2312" w:hAnsi="仿宋" w:eastAsia="仿宋_GB2312" w:cs="仿宋_GB2312"/>
          <w:color w:val="000000"/>
          <w:kern w:val="0"/>
          <w:sz w:val="32"/>
          <w:szCs w:val="32"/>
        </w:rPr>
        <w:t>21年部门决算汇总公开单位构成包括：湖南永州国家农业科技园区管理委员会本级，无其他二级预算单位。</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rPr>
          <w:sz w:val="72"/>
          <w:szCs w:val="72"/>
        </w:rPr>
      </w:pPr>
    </w:p>
    <w:p>
      <w:pPr>
        <w:jc w:val="center"/>
        <w:rPr>
          <w:sz w:val="72"/>
          <w:szCs w:val="72"/>
        </w:rPr>
      </w:pPr>
    </w:p>
    <w:p>
      <w:pPr>
        <w:jc w:val="center"/>
        <w:rPr>
          <w:sz w:val="72"/>
          <w:szCs w:val="72"/>
        </w:rPr>
      </w:pPr>
    </w:p>
    <w:p>
      <w:pPr>
        <w:jc w:val="center"/>
        <w:rPr>
          <w:rFonts w:ascii="方正小标宋_GBK" w:hAnsi="方正小标宋_GBK" w:eastAsia="方正小标宋_GBK" w:cs="方正小标宋_GBK"/>
          <w:color w:val="000000"/>
          <w:kern w:val="0"/>
          <w:sz w:val="72"/>
          <w:szCs w:val="72"/>
        </w:rPr>
      </w:pPr>
      <w:r>
        <w:rPr>
          <w:rFonts w:hint="eastAsia" w:ascii="方正小标宋_GBK" w:hAnsi="方正小标宋_GBK" w:eastAsia="方正小标宋_GBK" w:cs="方正小标宋_GBK"/>
          <w:color w:val="000000"/>
          <w:kern w:val="0"/>
          <w:sz w:val="72"/>
          <w:szCs w:val="72"/>
        </w:rPr>
        <w:t>第二部分</w:t>
      </w:r>
    </w:p>
    <w:p>
      <w:pPr>
        <w:jc w:val="center"/>
        <w:rPr>
          <w:rFonts w:hint="eastAsia" w:ascii="方正小标宋_GBK" w:hAnsi="方正小标宋_GBK" w:eastAsia="方正小标宋_GBK" w:cs="方正小标宋_GBK"/>
          <w:color w:val="000000"/>
          <w:kern w:val="0"/>
          <w:sz w:val="72"/>
          <w:szCs w:val="72"/>
        </w:rPr>
      </w:pPr>
      <w:r>
        <w:rPr>
          <w:rFonts w:hint="eastAsia" w:ascii="方正小标宋_GBK" w:hAnsi="方正小标宋_GBK" w:eastAsia="方正小标宋_GBK" w:cs="方正小标宋_GBK"/>
          <w:color w:val="000000"/>
          <w:kern w:val="0"/>
          <w:sz w:val="72"/>
          <w:szCs w:val="72"/>
        </w:rPr>
        <w:t>部门决算表</w:t>
      </w:r>
    </w:p>
    <w:p>
      <w:pPr>
        <w:jc w:val="center"/>
        <w:rPr>
          <w:sz w:val="72"/>
          <w:szCs w:val="72"/>
        </w:rPr>
      </w:pPr>
      <w:r>
        <w:rPr>
          <w:rFonts w:hint="eastAsia" w:ascii="楷体_GB2312" w:hAnsi="楷体_GB2312" w:eastAsia="楷体_GB2312" w:cs="楷体_GB2312"/>
          <w:b/>
          <w:bCs/>
          <w:color w:val="000000"/>
          <w:kern w:val="0"/>
          <w:sz w:val="52"/>
          <w:szCs w:val="52"/>
        </w:rPr>
        <w:t>（详见附表）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p>
      <w:pPr>
        <w:widowControl/>
        <w:rPr>
          <w:rFonts w:ascii="Times New Roman" w:hAnsi="Times New Roman" w:eastAsia="方正小标宋_GBK" w:cs="Times New Roman"/>
          <w:color w:val="000000"/>
          <w:kern w:val="0"/>
          <w:sz w:val="36"/>
          <w:szCs w:val="36"/>
        </w:rPr>
      </w:pPr>
    </w:p>
    <w:p>
      <w:pPr>
        <w:pStyle w:val="10"/>
        <w:rPr>
          <w:sz w:val="72"/>
          <w:szCs w:val="72"/>
        </w:rPr>
      </w:pPr>
    </w:p>
    <w:p>
      <w:pPr>
        <w:pStyle w:val="10"/>
        <w:jc w:val="center"/>
        <w:rPr>
          <w:rFonts w:hint="eastAsia"/>
          <w:sz w:val="72"/>
          <w:szCs w:val="72"/>
        </w:rPr>
      </w:pPr>
    </w:p>
    <w:p>
      <w:pPr>
        <w:pStyle w:val="10"/>
        <w:jc w:val="center"/>
        <w:rPr>
          <w:sz w:val="72"/>
          <w:szCs w:val="72"/>
        </w:rPr>
      </w:pPr>
    </w:p>
    <w:p>
      <w:pPr>
        <w:pStyle w:val="10"/>
        <w:jc w:val="center"/>
        <w:rPr>
          <w:sz w:val="72"/>
          <w:szCs w:val="72"/>
        </w:rPr>
      </w:pPr>
    </w:p>
    <w:p>
      <w:pPr>
        <w:pStyle w:val="10"/>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0"/>
        <w:jc w:val="center"/>
        <w:rPr>
          <w:rFonts w:hint="eastAsia"/>
          <w:sz w:val="70"/>
          <w:szCs w:val="70"/>
        </w:rPr>
      </w:pPr>
      <w:r>
        <w:rPr>
          <w:rFonts w:hint="eastAsia" w:ascii="方正小标宋_GBK" w:hAnsi="方正小标宋_GBK" w:eastAsia="方正小标宋_GBK" w:cs="方正小标宋_GBK"/>
          <w:sz w:val="72"/>
          <w:szCs w:val="72"/>
        </w:rPr>
        <w:t>2021年度部门决算情况说明</w:t>
      </w:r>
    </w:p>
    <w:p>
      <w:pPr>
        <w:widowControl/>
        <w:jc w:val="left"/>
        <w:rPr>
          <w:rFonts w:ascii="黑体" w:eastAsia="黑体" w:cs="黑体"/>
          <w:color w:val="000000"/>
          <w:kern w:val="0"/>
          <w:sz w:val="70"/>
          <w:szCs w:val="70"/>
        </w:rPr>
      </w:pPr>
      <w:r>
        <w:rPr>
          <w:sz w:val="70"/>
          <w:szCs w:val="70"/>
        </w:rPr>
        <w:t xml:space="preserve"> </w:t>
      </w:r>
      <w:r>
        <w:rPr>
          <w:sz w:val="70"/>
          <w:szCs w:val="70"/>
        </w:rPr>
        <w:br w:type="page"/>
      </w:r>
    </w:p>
    <w:p>
      <w:pPr>
        <w:pStyle w:val="10"/>
        <w:rPr>
          <w:rFonts w:asciiTheme="minorEastAsia" w:hAnsiTheme="minorEastAsia" w:eastAsiaTheme="minorEastAsia"/>
          <w:sz w:val="32"/>
          <w:szCs w:val="32"/>
        </w:rPr>
      </w:pPr>
    </w:p>
    <w:p>
      <w:pPr>
        <w:pStyle w:val="10"/>
        <w:numPr>
          <w:ilvl w:val="0"/>
          <w:numId w:val="2"/>
        </w:numPr>
        <w:spacing w:line="780" w:lineRule="exact"/>
        <w:ind w:left="0" w:firstLine="640" w:firstLineChars="200"/>
        <w:jc w:val="both"/>
        <w:rPr>
          <w:rFonts w:hAnsi="黑体"/>
          <w:sz w:val="32"/>
          <w:szCs w:val="32"/>
        </w:rPr>
      </w:pPr>
      <w:r>
        <w:rPr>
          <w:rFonts w:hint="eastAsia" w:hAnsi="黑体"/>
          <w:sz w:val="32"/>
          <w:szCs w:val="32"/>
        </w:rPr>
        <w:t>收入支出决算总体情况说明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 w:eastAsia="仿宋_GB2312" w:cs="仿宋_GB2312"/>
          <w:sz w:val="32"/>
          <w:szCs w:val="32"/>
        </w:rPr>
        <w:t>021年度收入总计330.2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万元。其中：本年收入合计330.2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万元，年初结转和结余0万元。本年收入合计与上年相比，增加82.6</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万元，增长33.4%，主要是因为本单位2021年新进人员增加17名，相关人员经费及公用经费有所增加。</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2021年度支出总计330.2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万元。其中：本年支出合计330.2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万元，年末结转和结余0万元。本年支出合计与上年相比，增加83.6</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万元，增长33.4%，主要是因为本单位2021年新进人员增加17名，从而基本工资、绩效工资、社保费、其他交通费等费用支出相应增加。</w:t>
      </w:r>
    </w:p>
    <w:p>
      <w:pPr>
        <w:pStyle w:val="10"/>
        <w:spacing w:line="780" w:lineRule="exact"/>
        <w:ind w:firstLine="200"/>
        <w:jc w:val="both"/>
        <w:rPr>
          <w:rFonts w:hAnsi="黑体"/>
          <w:sz w:val="32"/>
          <w:szCs w:val="32"/>
        </w:rPr>
      </w:pPr>
      <w:r>
        <w:rPr>
          <w:rFonts w:hint="eastAsia" w:hAnsi="黑体"/>
          <w:sz w:val="32"/>
          <w:szCs w:val="32"/>
        </w:rPr>
        <w:t>二、收入决算情况说明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2021年度收入合计330.2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万元，其中：财政拨款收入330.2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万元，占100%；上级补助收入0万元，占0%；事业收入0万元，占0%；经营收入0万元，占0%；附属单位上缴收入0万元，占0%；其他收入0万元，占0%。</w:t>
      </w:r>
    </w:p>
    <w:p>
      <w:pPr>
        <w:pStyle w:val="10"/>
        <w:spacing w:line="780" w:lineRule="exact"/>
        <w:ind w:firstLine="640" w:firstLineChars="200"/>
        <w:jc w:val="both"/>
        <w:rPr>
          <w:rFonts w:hAnsi="黑体"/>
          <w:sz w:val="32"/>
          <w:szCs w:val="32"/>
        </w:rPr>
      </w:pPr>
      <w:r>
        <w:rPr>
          <w:rFonts w:hint="eastAsia" w:hAnsi="黑体"/>
          <w:sz w:val="32"/>
          <w:szCs w:val="32"/>
        </w:rPr>
        <w:t>三、支出决算情况说明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2021年度支出合计330.2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万元，其中：基本支出330.2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万元，占100%；项目支出0万元，占0%；上缴上级支出0万元，占0%；经营支出0万元，占0%；对附属单位补助支出0万元，占0%。</w:t>
      </w:r>
    </w:p>
    <w:p>
      <w:pPr>
        <w:pStyle w:val="10"/>
        <w:spacing w:line="780" w:lineRule="exact"/>
        <w:ind w:firstLine="640" w:firstLineChars="200"/>
        <w:jc w:val="both"/>
        <w:rPr>
          <w:rFonts w:hAnsi="黑体"/>
          <w:b/>
          <w:sz w:val="32"/>
          <w:szCs w:val="32"/>
        </w:rPr>
      </w:pPr>
      <w:r>
        <w:rPr>
          <w:rFonts w:hint="eastAsia" w:hAnsi="黑体"/>
          <w:sz w:val="32"/>
          <w:szCs w:val="32"/>
        </w:rPr>
        <w:t>四、财政拨款收入支出决算总体情况说明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Theme="minorEastAsia" w:hAnsiTheme="minorEastAsia" w:eastAsiaTheme="minorEastAsia"/>
          <w:sz w:val="32"/>
          <w:szCs w:val="32"/>
        </w:rPr>
        <w:t xml:space="preserve">   </w:t>
      </w:r>
      <w:r>
        <w:rPr>
          <w:rFonts w:hint="eastAsia" w:ascii="仿宋_GB2312" w:hAnsi="仿宋" w:eastAsia="仿宋_GB2312" w:cs="仿宋_GB2312"/>
          <w:sz w:val="32"/>
          <w:szCs w:val="32"/>
        </w:rPr>
        <w:t>2021年度财政拨款收入总计330.2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万元，其中：本年收入合计330.2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万元，年初财政拨款结转和结余0万元。本年收入合计与上年相比，增加82.6</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万元,增长33.4%，主要是因为本单位2021年新进人员增加17名，相关人员经费及公用经费有所增加。</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2021年度财政拨款支出总计330.2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万元，其中：本年支出合计330.2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万元，年末财政拨款结转和结余0万元。本年支出合计与上年相比，增加82.6</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 xml:space="preserve">万元,增长33.4%，主要是因为本单位2021年新进人员增加17名，从而基本工资、绩效工资、社保费、其他交通费等费用支出相应增加。 </w:t>
      </w:r>
    </w:p>
    <w:p>
      <w:pPr>
        <w:pStyle w:val="10"/>
        <w:spacing w:line="780" w:lineRule="exact"/>
        <w:ind w:firstLine="640" w:firstLineChars="200"/>
        <w:jc w:val="both"/>
        <w:rPr>
          <w:rFonts w:hAnsi="黑体"/>
          <w:sz w:val="32"/>
          <w:szCs w:val="32"/>
        </w:rPr>
      </w:pPr>
      <w:r>
        <w:rPr>
          <w:rFonts w:hint="eastAsia" w:hAnsi="黑体"/>
          <w:sz w:val="32"/>
          <w:szCs w:val="32"/>
        </w:rPr>
        <w:t>五、一般公共预算财政拨款支出决算情况说明</w:t>
      </w:r>
    </w:p>
    <w:p>
      <w:pPr>
        <w:pStyle w:val="10"/>
        <w:spacing w:line="780" w:lineRule="exact"/>
        <w:ind w:firstLine="640" w:firstLineChars="200"/>
        <w:jc w:val="both"/>
        <w:rPr>
          <w:rFonts w:hint="eastAsia" w:ascii="楷体_GB2312" w:eastAsia="楷体_GB2312" w:hAnsiTheme="minorEastAsia"/>
          <w:b/>
          <w:sz w:val="32"/>
          <w:szCs w:val="32"/>
        </w:rPr>
      </w:pPr>
      <w:r>
        <w:rPr>
          <w:rFonts w:hint="eastAsia" w:ascii="楷体_GB2312" w:eastAsia="楷体_GB2312" w:hAnsiTheme="minorEastAsia"/>
          <w:b/>
          <w:sz w:val="32"/>
          <w:szCs w:val="32"/>
        </w:rPr>
        <w:t>（一）财政拨款支出决算总体情况</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2021年度财政拨款支出330.2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万元，占本年支出合计的100%，与上年相比，财政拨款支出增加82.6</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万元，增长33.4%，主要是因为我单位2021年新进人员增加17名，从而基本工资、绩效工资、社保费、其他交通费等费用支出相应增加。</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（二）财政拨款支出决算结构情况</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2021年度财政拨款支出330.2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主要用于以下方面：一般公共服务（类）支出0万元，占0%；外交支出（类）0万元，占0%；国防支出（类）0万元，占0%；公共安全支出（类）0万元，占0.00%；教育支出（类）0万元，占0%；科学技术支出（类）0万元，占0%；文化旅游体育与传媒支出（类）0万元，占0.00%；社会保障和就业支出（类）0万元，占0%；卫生健康支出（类）0万元，占0%；节能环保支出（类）0万元，占0%；城乡社区支出（类）0万元，占0%；农林水支出（类）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占100%；交通运输支出（类）0万元，占0%；资源勘探工业信息等支出（类）0万元，占0.00%；商业服务业等支出（类）0万元，占0%；金融支出（类）0万元，占0.00%；援助其他地区支出（类）0万元，占0.00%；自然资源海洋气象等支出（类）0万元，占0%；住房保障支出（类）0万元，占0%；粮油物资储备支出（类）0万元，占0%；国有资本经营预算支出（类）0万元，占0.00%；灾害防治及应急管理支出（类</w:t>
      </w:r>
      <w:r>
        <w:rPr>
          <w:rFonts w:ascii="仿宋_GB2312" w:hAnsi="仿宋" w:eastAsia="仿宋_GB2312" w:cs="仿宋_GB2312"/>
          <w:sz w:val="32"/>
          <w:szCs w:val="32"/>
        </w:rPr>
        <w:t>）</w:t>
      </w:r>
      <w:r>
        <w:rPr>
          <w:rFonts w:hint="eastAsia" w:ascii="仿宋_GB2312" w:hAnsi="仿宋" w:eastAsia="仿宋_GB2312" w:cs="仿宋_GB2312"/>
          <w:sz w:val="32"/>
          <w:szCs w:val="32"/>
        </w:rPr>
        <w:t>0万元，占0.00%；其他支出(类)0万元，占0.00%；债务还本支出（类）0万元，占0.00%；债务付息支出（类）0万元，占0.00%；抗疫特别国债安排的支出（类）0万元，占0.00%。</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（三）财政拨款支出决算具体情况</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2021年度财政拨款支出年初预算数为237.68万元，支出决算数为330.2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万元，完成年初预算的138.95%，其中：</w:t>
      </w:r>
    </w:p>
    <w:p>
      <w:pPr>
        <w:adjustRightInd w:val="0"/>
        <w:snapToGrid w:val="0"/>
        <w:spacing w:line="780" w:lineRule="exact"/>
        <w:ind w:firstLine="640" w:firstLineChars="2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1、农林水支出农业农村行政运行。</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年初预算为237.68万元，支出决算为330.2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万元，完成年初预算的138.95%，决算数大于年初预算数的主要原因是：2021年本单位新进人员增加17名，从而基本工资、绩效工资、社保费、其他交通费等费用支出相应增加。</w:t>
      </w:r>
    </w:p>
    <w:p>
      <w:pPr>
        <w:pStyle w:val="10"/>
        <w:spacing w:line="780" w:lineRule="exact"/>
        <w:ind w:firstLine="640" w:firstLineChars="200"/>
        <w:jc w:val="both"/>
        <w:rPr>
          <w:rFonts w:hAnsi="黑体"/>
          <w:sz w:val="32"/>
          <w:szCs w:val="32"/>
        </w:rPr>
      </w:pPr>
      <w:r>
        <w:rPr>
          <w:rFonts w:hint="eastAsia" w:hAnsi="黑体"/>
          <w:sz w:val="32"/>
          <w:szCs w:val="32"/>
        </w:rPr>
        <w:t>六、一般公共预算财政拨款基本支出决算情况说明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2021年度财政拨款基本支出330.2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万元，其中：</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人员经费296.8</w:t>
      </w: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rPr>
        <w:t>万元，占基本支出的89.88%,主要包括基本工资、奖金、绩效工资、机关事业单位基本养老保险缴费、职工基本医疗保险缴费、其他社会保障缴费；</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公用经费33.4</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万元，占基本支出的10.12%，主要包括办公费、邮电费、租赁费、公务接待费、劳务费、工会经费、公务用车运行维护费、其他交通费用、其他一般商品和服务支出。</w:t>
      </w:r>
    </w:p>
    <w:p>
      <w:pPr>
        <w:pStyle w:val="10"/>
        <w:spacing w:line="780" w:lineRule="exact"/>
        <w:ind w:firstLine="640" w:firstLineChars="200"/>
        <w:jc w:val="both"/>
        <w:rPr>
          <w:rFonts w:hAnsi="黑体"/>
          <w:sz w:val="32"/>
          <w:szCs w:val="32"/>
        </w:rPr>
      </w:pPr>
      <w:r>
        <w:rPr>
          <w:rFonts w:hint="eastAsia" w:hAnsi="黑体"/>
          <w:sz w:val="32"/>
          <w:szCs w:val="32"/>
        </w:rPr>
        <w:t>七、一般公共预算财政拨款“三公”经费支出决算情况说明</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（一）“三公”经费财政拨款支出决算总体情况说明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2021年度“三公”经费财政拨款支出预算为7万元，支出决算为3.44万元，完成预算的49.14%，其中：</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因公出国（境）费支出预算为0万元，支出决算为0万元，完成预算的0%，决算数与预算数持平，且与上年持平，主要原因是本单位2020年度和2021年度均无因公出国（境）费用支出。</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公务接待费支出预算为4万元，支出决算为0.76万元，完成预算的19%，决算数小于预算数的主要原因是本单位严格落实“真正过紧日子”，严控公务接待费支出；与上年相比减少1.99万元，减少72.36%,减少的主要原因是本单位严格落实“真正过紧日子”，压缩公务接待费支出。</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公务用车购置费支出预算为0万元，支出决算为0万元，完成预算的0%，决算数与预算数持平，且与上年持平，主要原因是本单位2020年度和2021年度无公务用车购置费支出。</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公务用车运行维护费支出预算为3万元，支出决算为2.68万元，完成预算的89.33%，决算数小于预算数的主要原因是本单位为节约开支，压缩公务用车运行维护费的支出，与上年相比增加1.84万元，增长219.05%,增长的主要原因是本单位2021年新进人员增加17名，外出办事次数增加。</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（二）“三公”经费财政拨款支出决算具体情况说明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Theme="minorEastAsia" w:hAnsiTheme="minorEastAsia" w:eastAsiaTheme="minorEastAsia"/>
          <w:sz w:val="32"/>
          <w:szCs w:val="32"/>
        </w:rPr>
        <w:t>2</w:t>
      </w:r>
      <w:r>
        <w:rPr>
          <w:rFonts w:hint="eastAsia" w:ascii="仿宋_GB2312" w:hAnsi="仿宋" w:eastAsia="仿宋_GB2312" w:cs="仿宋_GB2312"/>
          <w:sz w:val="32"/>
          <w:szCs w:val="32"/>
        </w:rPr>
        <w:t>021年度“三公”经费财政拨款支出决算中，公务接待费支出决算0.76万元，占10.86%,因公出国（境）费支出决算0万元，占0%,公务用车购置费及运行维护费支出决算2.68万元，占38.28%。其中：</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1、因公出国（境）费支出决算为0万元，全年安排因公出国（境）团组0个，累计0人次，2021年度我单位未开展因公出国（境）活动。</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公务接待费支出决算为0.76万元，全年共接待来访团组7个、来宾8人次，主要是中国农科院衡阳红壤实验站副站长李冬初带领专家到中国农科院衡阳红壤实验站孟公山基地、湘西农科园来访交流创建农高区事宜、省科技厅组织专家现场考察评估永州国家农业科技园区、百金惠集团董事长杨旸一行来市农科园考察洽谈、杭州洞洞科技有限公司、深圳金版文化股份有限公司、江永金版女书文化有限公司等企业负责人来园再次考察，并商谈座谈会上签订的《永州市农业数字化生态项目合作协议》具体事宜、省生产力促进中心考察组来园绩效考察永州现代农业星创天地项目、湖南省食用菌协会会长、研究所所长彭运祥一行深入永州农科园实地调研食用菌产业的发展情况，并洽谈食用菌产业发展有关事宜等发生的接待支出。</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3、公务用车购置费及运行维护费支出决算为2.68万元，其中：公务用车购置费0万元，本单位无更新公务用车。公务用车运行维护费2.68万元，主要是公车加油费、保险费及维修费的支出，截止2021年12月31日，我单位开支财政拨款的公务用车保有量为1辆。</w:t>
      </w:r>
    </w:p>
    <w:p>
      <w:pPr>
        <w:pStyle w:val="10"/>
        <w:spacing w:line="780" w:lineRule="exact"/>
        <w:ind w:firstLine="640" w:firstLineChars="200"/>
        <w:jc w:val="both"/>
        <w:rPr>
          <w:rFonts w:hAnsi="黑体"/>
          <w:sz w:val="32"/>
          <w:szCs w:val="32"/>
        </w:rPr>
      </w:pPr>
      <w:r>
        <w:rPr>
          <w:rFonts w:hint="eastAsia" w:hAnsi="黑体"/>
          <w:sz w:val="32"/>
          <w:szCs w:val="32"/>
        </w:rPr>
        <w:t>八、政府性基金预算收入支出决算情况</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2021年度政府性基金预算财政拨款收入0万元；年初结转和结余0万元；支出0万元，其中基本支出0万元，项目支出0万元；年末结转和结余0万元。2021年度本单位无政府性基金收支。</w:t>
      </w:r>
      <w:bookmarkStart w:id="0" w:name="_GoBack"/>
      <w:bookmarkEnd w:id="0"/>
    </w:p>
    <w:p>
      <w:pPr>
        <w:pStyle w:val="10"/>
        <w:spacing w:line="780" w:lineRule="exact"/>
        <w:ind w:firstLine="640" w:firstLineChars="200"/>
        <w:jc w:val="both"/>
        <w:rPr>
          <w:rFonts w:hAnsi="黑体"/>
          <w:sz w:val="32"/>
          <w:szCs w:val="32"/>
        </w:rPr>
      </w:pPr>
      <w:r>
        <w:rPr>
          <w:rFonts w:hint="eastAsia" w:hAnsi="黑体"/>
          <w:sz w:val="32"/>
          <w:szCs w:val="32"/>
        </w:rPr>
        <w:t>九、机关运行经费支出说明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本单位属于公益一类事业单位，不属于行政单位和参照公务员法管理事业单位，无机关运行经费。</w:t>
      </w:r>
    </w:p>
    <w:p>
      <w:pPr>
        <w:pStyle w:val="10"/>
        <w:spacing w:line="780" w:lineRule="exact"/>
        <w:ind w:firstLine="640" w:firstLineChars="200"/>
        <w:jc w:val="both"/>
        <w:rPr>
          <w:rFonts w:hAnsi="黑体"/>
          <w:sz w:val="32"/>
          <w:szCs w:val="32"/>
        </w:rPr>
      </w:pPr>
      <w:r>
        <w:rPr>
          <w:rFonts w:hint="eastAsia" w:hAnsi="黑体"/>
          <w:sz w:val="32"/>
          <w:szCs w:val="32"/>
        </w:rPr>
        <w:t>十、一般性支出情况说明</w:t>
      </w:r>
    </w:p>
    <w:p>
      <w:pPr>
        <w:pStyle w:val="10"/>
        <w:spacing w:line="780" w:lineRule="exact"/>
        <w:ind w:firstLine="640" w:firstLineChars="200"/>
        <w:jc w:val="both"/>
        <w:rPr>
          <w:rFonts w:asciiTheme="minorEastAsia" w:hAnsiTheme="minorEastAsia" w:eastAsiaTheme="minorEastAsia"/>
          <w:sz w:val="32"/>
          <w:szCs w:val="32"/>
        </w:rPr>
      </w:pPr>
      <w:r>
        <w:rPr>
          <w:rFonts w:hint="eastAsia" w:ascii="仿宋_GB2312" w:hAnsi="仿宋" w:eastAsia="仿宋_GB2312" w:cs="仿宋_GB2312"/>
          <w:sz w:val="32"/>
          <w:szCs w:val="32"/>
        </w:rPr>
        <w:t>本单位2021年度未举办会议、培训、节庆、晚会、论坛、赛事等活动。</w:t>
      </w:r>
    </w:p>
    <w:p>
      <w:pPr>
        <w:pStyle w:val="10"/>
        <w:spacing w:line="780" w:lineRule="exact"/>
        <w:ind w:firstLine="640" w:firstLineChars="200"/>
        <w:jc w:val="both"/>
        <w:rPr>
          <w:rFonts w:hAnsi="黑体"/>
          <w:sz w:val="32"/>
          <w:szCs w:val="32"/>
        </w:rPr>
      </w:pPr>
      <w:r>
        <w:rPr>
          <w:rFonts w:hint="eastAsia" w:hAnsi="黑体"/>
          <w:sz w:val="32"/>
          <w:szCs w:val="32"/>
        </w:rPr>
        <w:t>十一、政府采购支出说明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本部门2021年度政府采购支出总额0万元，其中：政府采购货物支出0 万元、政府采购工程支出0万元、政府采购服务支出0万元。授予中小企业合同金额0万元，占政府采购支出总额的0%，其中：授予小微企业合同金额</w:t>
      </w:r>
      <w:r>
        <w:rPr>
          <w:rFonts w:hint="eastAsia" w:ascii="仿宋_GB2312" w:hAnsi="仿宋" w:eastAsia="仿宋_GB2312" w:cs="仿宋_GB2312"/>
          <w:sz w:val="32"/>
          <w:szCs w:val="32"/>
          <w:lang w:val="en-US" w:eastAsia="zh-CN"/>
        </w:rPr>
        <w:t>0</w:t>
      </w:r>
      <w:r>
        <w:rPr>
          <w:rFonts w:hint="eastAsia" w:ascii="仿宋_GB2312" w:hAnsi="仿宋" w:eastAsia="仿宋_GB2312" w:cs="仿宋_GB2312"/>
          <w:sz w:val="32"/>
          <w:szCs w:val="32"/>
        </w:rPr>
        <w:t>万元，占授予中小企业合同金额的0%；货物采购授予中小企业合同金额占货物支出金额的0%，工程采购授予中小企业合同金额占工程支出金额的0%，服务采购授予中小企业合同金额占服务支出金额的0%。</w:t>
      </w:r>
    </w:p>
    <w:p>
      <w:pPr>
        <w:pStyle w:val="10"/>
        <w:spacing w:line="780" w:lineRule="exact"/>
        <w:ind w:firstLine="640" w:firstLineChars="200"/>
        <w:jc w:val="both"/>
        <w:rPr>
          <w:rFonts w:hAnsi="黑体"/>
          <w:sz w:val="32"/>
          <w:szCs w:val="32"/>
        </w:rPr>
      </w:pPr>
      <w:r>
        <w:rPr>
          <w:rFonts w:hint="eastAsia" w:hAnsi="黑体"/>
          <w:sz w:val="32"/>
          <w:szCs w:val="32"/>
        </w:rPr>
        <w:t>十二、国有资产占用情况说明</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截至2021年12月31日，部门（单位）共有车辆1辆，其中，主要领导干部用车0辆，机要通信用车0辆、应急保障用车0辆、执法执勤用车0辆、特种专业技术用车0辆、其他用车1辆，其他用车主要是用于公务用车；单位价值50万元以上通用设备0台（套）；单位价值100万元以上专用设备0台（套）。</w:t>
      </w:r>
    </w:p>
    <w:p>
      <w:pPr>
        <w:pStyle w:val="10"/>
        <w:spacing w:line="780" w:lineRule="exact"/>
        <w:ind w:firstLine="640" w:firstLineChars="200"/>
        <w:jc w:val="both"/>
        <w:rPr>
          <w:rFonts w:hAnsi="黑体"/>
          <w:sz w:val="32"/>
          <w:szCs w:val="32"/>
        </w:rPr>
      </w:pPr>
      <w:r>
        <w:rPr>
          <w:rFonts w:hint="eastAsia" w:hAnsi="黑体"/>
          <w:sz w:val="32"/>
          <w:szCs w:val="32"/>
        </w:rPr>
        <w:t>十三、2021年度预算绩效情况说明</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（1）绩效管理评价工作开展情况。</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根据预算绩效管理要求，我单位组织对</w:t>
      </w:r>
      <w:r>
        <w:rPr>
          <w:rFonts w:ascii="仿宋_GB2312" w:hAnsi="仿宋" w:eastAsia="仿宋_GB2312" w:cs="仿宋_GB2312"/>
          <w:sz w:val="32"/>
          <w:szCs w:val="32"/>
        </w:rPr>
        <w:t xml:space="preserve">2021 </w:t>
      </w:r>
      <w:r>
        <w:rPr>
          <w:rFonts w:hint="eastAsia" w:ascii="仿宋_GB2312" w:hAnsi="仿宋" w:eastAsia="仿宋_GB2312" w:cs="仿宋_GB2312"/>
          <w:sz w:val="32"/>
          <w:szCs w:val="32"/>
        </w:rPr>
        <w:t>年度一般公共预算项目支出全面开展绩效自评，其中，一级项目0个，二级项0个，共涉及资金0万元，占一般公共预算项目支出总额的0</w:t>
      </w:r>
      <w:r>
        <w:rPr>
          <w:rFonts w:ascii="仿宋_GB2312" w:hAnsi="仿宋" w:eastAsia="仿宋_GB2312" w:cs="仿宋_GB2312"/>
          <w:sz w:val="32"/>
          <w:szCs w:val="32"/>
        </w:rPr>
        <w:t>%</w:t>
      </w:r>
      <w:r>
        <w:rPr>
          <w:rFonts w:hint="eastAsia" w:ascii="仿宋_GB2312" w:hAnsi="仿宋" w:eastAsia="仿宋_GB2312" w:cs="仿宋_GB2312"/>
          <w:sz w:val="32"/>
          <w:szCs w:val="32"/>
        </w:rPr>
        <w:t>。组织对</w:t>
      </w:r>
      <w:r>
        <w:rPr>
          <w:rFonts w:ascii="仿宋_GB2312" w:hAnsi="仿宋" w:eastAsia="仿宋_GB2312" w:cs="仿宋_GB2312"/>
          <w:sz w:val="32"/>
          <w:szCs w:val="32"/>
        </w:rPr>
        <w:t>2021</w:t>
      </w:r>
      <w:r>
        <w:rPr>
          <w:rFonts w:hint="eastAsia" w:ascii="仿宋_GB2312" w:hAnsi="仿宋" w:eastAsia="仿宋_GB2312" w:cs="仿宋_GB2312"/>
          <w:sz w:val="32"/>
          <w:szCs w:val="32"/>
        </w:rPr>
        <w:t>年度政府性基金预算项目支出开展绩效自评，共涉及资金0万元，占政府性基金预算项目支出总额的0</w:t>
      </w:r>
      <w:r>
        <w:rPr>
          <w:rFonts w:ascii="仿宋_GB2312" w:hAnsi="仿宋" w:eastAsia="仿宋_GB2312" w:cs="仿宋_GB2312"/>
          <w:sz w:val="32"/>
          <w:szCs w:val="32"/>
        </w:rPr>
        <w:t>%</w:t>
      </w:r>
      <w:r>
        <w:rPr>
          <w:rFonts w:hint="eastAsia" w:ascii="仿宋_GB2312" w:hAnsi="仿宋" w:eastAsia="仿宋_GB2312" w:cs="仿宋_GB2312"/>
          <w:sz w:val="32"/>
          <w:szCs w:val="32"/>
        </w:rPr>
        <w:t>。组织对</w:t>
      </w:r>
      <w:r>
        <w:rPr>
          <w:rFonts w:ascii="仿宋_GB2312" w:hAnsi="仿宋" w:eastAsia="仿宋_GB2312" w:cs="仿宋_GB2312"/>
          <w:sz w:val="32"/>
          <w:szCs w:val="32"/>
        </w:rPr>
        <w:t xml:space="preserve">2021 </w:t>
      </w:r>
      <w:r>
        <w:rPr>
          <w:rFonts w:hint="eastAsia" w:ascii="仿宋_GB2312" w:hAnsi="仿宋" w:eastAsia="仿宋_GB2312" w:cs="仿宋_GB2312"/>
          <w:sz w:val="32"/>
          <w:szCs w:val="32"/>
        </w:rPr>
        <w:t>年度国有资本经营预算项目支出开展绩效自评，共涉及资金0</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万元，占国有资本经营预算项目支出总额的0</w:t>
      </w:r>
      <w:r>
        <w:rPr>
          <w:rFonts w:ascii="仿宋_GB2312" w:hAnsi="仿宋" w:eastAsia="仿宋_GB2312" w:cs="仿宋_GB2312"/>
          <w:sz w:val="32"/>
          <w:szCs w:val="32"/>
        </w:rPr>
        <w:t>%</w:t>
      </w:r>
      <w:r>
        <w:rPr>
          <w:rFonts w:hint="eastAsia" w:ascii="仿宋_GB2312" w:hAnsi="仿宋" w:eastAsia="仿宋_GB2312" w:cs="仿宋_GB2312"/>
          <w:sz w:val="32"/>
          <w:szCs w:val="32"/>
        </w:rPr>
        <w:t>。</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本单位无所属二级单位，已开展项目绩效自评，无需开展部门评价。</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组织对本单位开展整体支出绩效评价，涉及一般公共预算支出330.2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万元，政府性基金预算支出0万元。从评价情况来看，我单位一般公共预算支出涵盖单位人员经费及公用经费。所有开支均按照我单位财务管理制度执行，严格按照资金管理办法使用，达到了预期效果，做到了资金投入合理，政策执行有力，资金落实到位，财务管理规范，提升了政府形象，提高了政府的公信力。</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（2）部门决算中项目绩效自评结果。</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本单位2021年度无项目支出，因此无部门决算中项目绩效自评结果。</w:t>
      </w:r>
    </w:p>
    <w:p>
      <w:pPr>
        <w:pStyle w:val="10"/>
        <w:spacing w:line="780" w:lineRule="exact"/>
        <w:ind w:firstLine="640" w:firstLineChars="200"/>
        <w:jc w:val="both"/>
        <w:rPr>
          <w:rFonts w:ascii="楷体_GB2312" w:eastAsia="楷体_GB2312" w:hAnsiTheme="minorEastAsia"/>
          <w:b/>
          <w:sz w:val="32"/>
          <w:szCs w:val="32"/>
        </w:rPr>
      </w:pPr>
      <w:r>
        <w:rPr>
          <w:rFonts w:hint="eastAsia" w:ascii="楷体_GB2312" w:eastAsia="楷体_GB2312" w:hAnsiTheme="minorEastAsia"/>
          <w:b/>
          <w:sz w:val="32"/>
          <w:szCs w:val="32"/>
        </w:rPr>
        <w:t>（</w:t>
      </w:r>
      <w:r>
        <w:rPr>
          <w:rFonts w:ascii="楷体_GB2312" w:eastAsia="楷体_GB2312" w:hAnsiTheme="minorEastAsia"/>
          <w:b/>
          <w:sz w:val="32"/>
          <w:szCs w:val="32"/>
        </w:rPr>
        <w:t>3</w:t>
      </w:r>
      <w:r>
        <w:rPr>
          <w:rFonts w:hint="eastAsia" w:ascii="楷体_GB2312" w:eastAsia="楷体_GB2312" w:hAnsiTheme="minorEastAsia"/>
          <w:b/>
          <w:sz w:val="32"/>
          <w:szCs w:val="32"/>
        </w:rPr>
        <w:t>）部门评价项目绩效评价结果。</w:t>
      </w:r>
    </w:p>
    <w:p>
      <w:pPr>
        <w:pStyle w:val="10"/>
        <w:spacing w:line="78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本单位无所属二级单位，且2021年度无项目支出，已开展项目绩效自评，无需开展部门评价，因此无部门评价项目绩效评价结果。</w:t>
      </w:r>
    </w:p>
    <w:p>
      <w:pPr>
        <w:pStyle w:val="10"/>
        <w:spacing w:line="780" w:lineRule="exact"/>
        <w:ind w:firstLine="200"/>
        <w:jc w:val="both"/>
        <w:rPr>
          <w:sz w:val="72"/>
          <w:szCs w:val="72"/>
        </w:rPr>
      </w:pPr>
    </w:p>
    <w:p>
      <w:pPr>
        <w:pStyle w:val="10"/>
        <w:jc w:val="center"/>
        <w:rPr>
          <w:sz w:val="72"/>
          <w:szCs w:val="72"/>
        </w:rPr>
      </w:pPr>
    </w:p>
    <w:p>
      <w:pPr>
        <w:pStyle w:val="10"/>
        <w:jc w:val="center"/>
        <w:rPr>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sz w:val="72"/>
          <w:szCs w:val="72"/>
        </w:rPr>
      </w:pPr>
    </w:p>
    <w:p>
      <w:pPr>
        <w:pStyle w:val="10"/>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pStyle w:val="10"/>
        <w:jc w:val="center"/>
        <w:rPr>
          <w:rFonts w:hint="eastAsia"/>
          <w:sz w:val="70"/>
          <w:szCs w:val="70"/>
        </w:rPr>
      </w:pPr>
      <w:r>
        <w:rPr>
          <w:rFonts w:hint="eastAsia" w:ascii="方正小标宋_GBK" w:hAnsi="方正小标宋_GBK" w:eastAsia="方正小标宋_GBK" w:cs="方正小标宋_GBK"/>
          <w:sz w:val="72"/>
          <w:szCs w:val="72"/>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t xml:space="preserve"> </w:t>
      </w: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numPr>
          <w:ilvl w:val="0"/>
          <w:numId w:val="3"/>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财政拨款收入：指财政当年拨付的资金，主要包括一般公共预算财政拨款，政府性基金预算财政拨款，国有资本经营预算财政拨款。</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二、上级补助收入：指事业单位从主管部门和上级单位取得的非财政补助收入。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三、事业收入：指事业单位开展专业业务活动及辅助活动所取得的收入。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四、经营收入：指事业单位在专业业务活动及其辅助活动之外开展非独立核算经营活动取得的收入。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五、附属单位上缴收入：指事业单位附属独立核算单位按照有关规定上缴的收入。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六、其他收入：指除上述“财政拨款收入”、“事业收入”、“经营收入”等以外的收入。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七、基本支出：指为保障机构正常运转、完成日常工作任务而发生的各项支出，包括人员支出和公用支出。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八、项目支出：指在基本支出以外为完成相关行政任务和事业发展目标所发生的各项支出。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九、“三公”经费：指通过财政拨款资金安排的因公出国（境）费、公务用车购置及运行费和公务接待费支出。  </w:t>
      </w:r>
    </w:p>
    <w:p>
      <w:pPr>
        <w:widowControl/>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十、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t xml:space="preserve"> </w:t>
      </w:r>
      <w:r>
        <w:rPr>
          <w:rFonts w:ascii="黑体" w:eastAsia="黑体" w:cs="黑体"/>
          <w:color w:val="000000"/>
          <w:kern w:val="0"/>
          <w:sz w:val="70"/>
          <w:szCs w:val="70"/>
        </w:rPr>
        <w:br w:type="page"/>
      </w:r>
    </w:p>
    <w:p>
      <w:pPr>
        <w:ind w:firstLine="720" w:firstLineChars="200"/>
        <w:jc w:val="center"/>
        <w:rPr>
          <w:rFonts w:cs="黑体" w:asciiTheme="minorEastAsia" w:hAnsiTheme="minorEastAsia"/>
          <w:b/>
          <w:color w:val="000000"/>
          <w:kern w:val="0"/>
          <w:sz w:val="36"/>
          <w:szCs w:val="36"/>
        </w:rPr>
      </w:pPr>
    </w:p>
    <w:p>
      <w:pPr>
        <w:jc w:val="center"/>
        <w:rPr>
          <w:rFonts w:ascii="方正小标宋简体" w:eastAsia="方正小标宋简体"/>
          <w:sz w:val="44"/>
          <w:szCs w:val="44"/>
        </w:rPr>
      </w:pPr>
      <w:r>
        <w:rPr>
          <w:rFonts w:hint="eastAsia" w:ascii="方正小标宋简体" w:eastAsia="方正小标宋简体"/>
          <w:sz w:val="44"/>
          <w:szCs w:val="44"/>
        </w:rPr>
        <w:t>湖南永州国家农业科技园区管理委员会2021年度部门整体支出绩效自评报告</w:t>
      </w:r>
    </w:p>
    <w:p>
      <w:pPr>
        <w:ind w:firstLine="720" w:firstLineChars="200"/>
        <w:jc w:val="center"/>
        <w:rPr>
          <w:rFonts w:cs="黑体" w:asciiTheme="minorEastAsia" w:hAnsiTheme="minorEastAsia"/>
          <w:b/>
          <w:color w:val="000000"/>
          <w:kern w:val="0"/>
          <w:sz w:val="36"/>
          <w:szCs w:val="36"/>
        </w:rPr>
      </w:pPr>
    </w:p>
    <w:p>
      <w:pPr>
        <w:spacing w:line="720" w:lineRule="exact"/>
        <w:ind w:firstLine="640" w:firstLineChars="200"/>
        <w:rPr>
          <w:rFonts w:eastAsia="黑体"/>
          <w:sz w:val="32"/>
          <w:szCs w:val="32"/>
        </w:rPr>
      </w:pPr>
      <w:r>
        <w:rPr>
          <w:rFonts w:eastAsia="黑体"/>
          <w:sz w:val="32"/>
          <w:szCs w:val="32"/>
        </w:rPr>
        <w:t>一、基本情况</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1.单位简介</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关于湖南永州国家农业科技园区管理委员会的批复》(湘编办复字(2015)56号)和《中共永州市委常委办公会议纪要》(2016第6期)精神,按照“精简、统一、效能”原则,设立中共湖南永州国家农业科技园区工作委员会、湖南永州国家农业科技园区管理委员会(以下简称市农科园党工委、市农科园管委会),分别作为中共永州市委、永州市人民政府的派出机构,合暑办公,对园区实行统一领导、统一规划、统一管理。</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2.主要职责</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（1）负责国家、省有关农业科技园区发展的法律、法规和政策的贯彻实施,落实市委、市政府的重要决策和工作部署；</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（2）根据全市国民经济和社会发展规划、土地利用总体规划,负责编制园区中长期发展规划和年度工作计划,经批准后组织实施；</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（3）负责园区农业科技成果、先进实用技术的引进、示范、创新和推广,推进优质农产品标准化和产业化建设；</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（4）负责组织园区各类科技项目申报、实施和农业高新技术企业的申报以及科技成果鉴定、验收、奖励；</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（5）负责园区基础设施规划、建设和管理；</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（6）负责园区建设融资和招商引资工作；</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（7）负责园区与各类科研机构(院校)开展合作交流,加强各类专业技术人才的引进、培训、培养工作；</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（8）负贵园区党务、群团、人事、人才、统计、审计、则务、国有资产管理、人力资源和社会保障、社会管理综合治理、安全生产监督、环境卫生等工作；</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（9）承办市委、市政府交办的其他事项。</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3.机构设置</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我单位内设机构包括：党政办公室（加挂审计局牌子）、农业科技局（加挂林业局、水利局牌子）、招商合作局、经济发展局（加挂安全生产监督管理局牌子）、规划建设环保局（加挂交通局牌子）、财政局、组织人社局（加挂宣传统战部牌子）、纪检监察室等8个工作机构。</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4.人员情况</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我单位现有编制39人，其中行政编制0人，事业编制39人。现有在职人员39人，其中副处级2人，正科级5人，副科级3 人，科员29人，参照公务员管理人员0人，执行事业单位工资标准人员39人。车辆编制及实有数为1辆。</w:t>
      </w:r>
    </w:p>
    <w:p>
      <w:pPr>
        <w:spacing w:line="780" w:lineRule="exact"/>
        <w:ind w:firstLine="640" w:firstLineChars="200"/>
        <w:rPr>
          <w:rFonts w:eastAsia="黑体"/>
          <w:sz w:val="32"/>
          <w:szCs w:val="32"/>
        </w:rPr>
      </w:pPr>
      <w:r>
        <w:rPr>
          <w:rFonts w:eastAsia="黑体"/>
          <w:sz w:val="32"/>
          <w:szCs w:val="32"/>
        </w:rPr>
        <w:t>二、一般公共预算支出情况</w:t>
      </w:r>
    </w:p>
    <w:p>
      <w:pPr>
        <w:widowControl/>
        <w:spacing w:line="780" w:lineRule="exact"/>
        <w:ind w:firstLine="640" w:firstLineChars="2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（一）基本支出情况</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2021年我单位一般公共预算财政拨款收入</w:t>
      </w:r>
      <w:r>
        <w:rPr>
          <w:rFonts w:hint="eastAsia" w:ascii="仿宋_GB2312" w:hAnsi="仿宋" w:eastAsia="仿宋_GB2312" w:cs="仿宋_GB2312"/>
          <w:sz w:val="32"/>
          <w:szCs w:val="32"/>
        </w:rPr>
        <w:t>330.2</w:t>
      </w:r>
      <w:r>
        <w:rPr>
          <w:rFonts w:hint="eastAsia" w:ascii="仿宋_GB2312" w:hAnsi="仿宋" w:eastAsia="仿宋_GB2312" w:cs="仿宋_GB2312"/>
          <w:sz w:val="32"/>
          <w:szCs w:val="32"/>
          <w:lang w:val="en-US" w:eastAsia="zh-CN"/>
        </w:rPr>
        <w:t>3</w:t>
      </w:r>
      <w:r>
        <w:rPr>
          <w:rFonts w:hint="eastAsia" w:ascii="仿宋_GB2312" w:hAnsi="仿宋_GB2312" w:eastAsia="仿宋_GB2312" w:cs="仿宋_GB2312"/>
          <w:sz w:val="32"/>
          <w:szCs w:val="32"/>
        </w:rPr>
        <w:t>万元，实际支出</w:t>
      </w:r>
      <w:r>
        <w:rPr>
          <w:rFonts w:hint="eastAsia" w:ascii="仿宋_GB2312" w:hAnsi="仿宋" w:eastAsia="仿宋_GB2312" w:cs="仿宋_GB2312"/>
          <w:sz w:val="32"/>
          <w:szCs w:val="32"/>
        </w:rPr>
        <w:t>330.2</w:t>
      </w:r>
      <w:r>
        <w:rPr>
          <w:rFonts w:hint="eastAsia" w:ascii="仿宋_GB2312" w:hAnsi="仿宋" w:eastAsia="仿宋_GB2312" w:cs="仿宋_GB2312"/>
          <w:sz w:val="32"/>
          <w:szCs w:val="32"/>
          <w:lang w:val="en-US" w:eastAsia="zh-CN"/>
        </w:rPr>
        <w:t>3</w:t>
      </w:r>
      <w:r>
        <w:rPr>
          <w:rFonts w:hint="eastAsia" w:ascii="仿宋_GB2312" w:hAnsi="仿宋_GB2312" w:eastAsia="仿宋_GB2312" w:cs="仿宋_GB2312"/>
          <w:sz w:val="32"/>
          <w:szCs w:val="32"/>
        </w:rPr>
        <w:t>万元。具体包括工资福利支出296.8</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万元；一般商品和服务支出33.4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p>
    <w:p>
      <w:pPr>
        <w:widowControl/>
        <w:spacing w:line="780" w:lineRule="exact"/>
        <w:ind w:firstLine="640" w:firstLineChars="200"/>
        <w:rPr>
          <w:rFonts w:ascii="楷体_GB2312" w:hAnsi="仿宋_GB2312" w:eastAsia="楷体_GB2312" w:cs="仿宋_GB2312"/>
          <w:b/>
          <w:sz w:val="32"/>
          <w:szCs w:val="32"/>
        </w:rPr>
      </w:pPr>
      <w:r>
        <w:rPr>
          <w:rFonts w:hint="eastAsia" w:ascii="楷体_GB2312" w:hAnsi="仿宋_GB2312" w:eastAsia="楷体_GB2312" w:cs="仿宋_GB2312"/>
          <w:b/>
          <w:sz w:val="32"/>
          <w:szCs w:val="32"/>
        </w:rPr>
        <w:t>（二）项目支出情况</w:t>
      </w:r>
    </w:p>
    <w:p>
      <w:pPr>
        <w:widowControl/>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2021年本单位在一般公共预算支出中无项目支出。</w:t>
      </w:r>
    </w:p>
    <w:p>
      <w:pPr>
        <w:spacing w:line="780" w:lineRule="exact"/>
        <w:ind w:firstLine="640" w:firstLineChars="200"/>
        <w:rPr>
          <w:rFonts w:eastAsia="黑体"/>
          <w:sz w:val="32"/>
          <w:szCs w:val="32"/>
        </w:rPr>
      </w:pPr>
      <w:r>
        <w:rPr>
          <w:rFonts w:eastAsia="黑体"/>
          <w:sz w:val="32"/>
          <w:szCs w:val="32"/>
        </w:rPr>
        <w:t>三、政府性基金预算支出情况</w:t>
      </w:r>
    </w:p>
    <w:p>
      <w:pPr>
        <w:pStyle w:val="11"/>
        <w:spacing w:line="7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本单位2021年度无政府性基金预算安排的支出。</w:t>
      </w:r>
    </w:p>
    <w:p>
      <w:pPr>
        <w:spacing w:line="780" w:lineRule="exact"/>
        <w:ind w:firstLine="640" w:firstLineChars="200"/>
        <w:rPr>
          <w:rFonts w:asciiTheme="minorEastAsia" w:hAnsiTheme="minorEastAsia"/>
          <w:b/>
          <w:sz w:val="32"/>
          <w:szCs w:val="32"/>
        </w:rPr>
      </w:pPr>
      <w:r>
        <w:rPr>
          <w:rFonts w:eastAsia="黑体"/>
          <w:sz w:val="32"/>
          <w:szCs w:val="32"/>
        </w:rPr>
        <w:t>四、国有资本经营预算支出情况</w:t>
      </w:r>
    </w:p>
    <w:p>
      <w:pPr>
        <w:pStyle w:val="11"/>
        <w:spacing w:line="7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本单位2021年度无国有资本经营预算安排的支出。</w:t>
      </w:r>
    </w:p>
    <w:p>
      <w:pPr>
        <w:spacing w:line="780" w:lineRule="exact"/>
        <w:ind w:firstLine="640" w:firstLineChars="200"/>
        <w:rPr>
          <w:rFonts w:eastAsia="黑体"/>
          <w:sz w:val="32"/>
          <w:szCs w:val="32"/>
        </w:rPr>
      </w:pPr>
      <w:r>
        <w:rPr>
          <w:rFonts w:eastAsia="黑体"/>
          <w:sz w:val="32"/>
          <w:szCs w:val="32"/>
        </w:rPr>
        <w:t>五、社会保险基金预算支出情况</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本单位2021年度无社会保险基金预算安排的支出。</w:t>
      </w:r>
    </w:p>
    <w:p>
      <w:pPr>
        <w:spacing w:line="780" w:lineRule="exact"/>
        <w:ind w:firstLine="640" w:firstLineChars="200"/>
        <w:rPr>
          <w:rFonts w:eastAsia="黑体"/>
          <w:sz w:val="32"/>
          <w:szCs w:val="32"/>
        </w:rPr>
      </w:pPr>
      <w:r>
        <w:rPr>
          <w:rFonts w:eastAsia="黑体"/>
          <w:sz w:val="32"/>
          <w:szCs w:val="32"/>
        </w:rPr>
        <w:t>六、部门整体支出绩效情况</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2021年我单位一般公共预算财政拨款收入</w:t>
      </w:r>
      <w:r>
        <w:rPr>
          <w:rFonts w:hint="eastAsia" w:ascii="仿宋_GB2312" w:hAnsi="仿宋_GB2312" w:eastAsia="仿宋_GB2312" w:cs="仿宋_GB2312"/>
          <w:sz w:val="32"/>
          <w:szCs w:val="32"/>
          <w:lang w:val="en-US" w:eastAsia="zh-CN"/>
        </w:rPr>
        <w:t>330.23</w:t>
      </w:r>
      <w:r>
        <w:rPr>
          <w:rFonts w:hint="eastAsia" w:ascii="仿宋_GB2312" w:hAnsi="仿宋_GB2312" w:eastAsia="仿宋_GB2312" w:cs="仿宋_GB2312"/>
          <w:sz w:val="32"/>
          <w:szCs w:val="32"/>
        </w:rPr>
        <w:t>万元，实际支出</w:t>
      </w:r>
      <w:r>
        <w:rPr>
          <w:rFonts w:hint="eastAsia" w:ascii="仿宋_GB2312" w:hAnsi="仿宋" w:eastAsia="仿宋_GB2312" w:cs="仿宋_GB2312"/>
          <w:sz w:val="32"/>
          <w:szCs w:val="32"/>
        </w:rPr>
        <w:t>330.2</w:t>
      </w:r>
      <w:r>
        <w:rPr>
          <w:rFonts w:hint="eastAsia" w:ascii="仿宋_GB2312" w:hAnsi="仿宋" w:eastAsia="仿宋_GB2312" w:cs="仿宋_GB2312"/>
          <w:sz w:val="32"/>
          <w:szCs w:val="32"/>
          <w:lang w:val="en-US" w:eastAsia="zh-CN"/>
        </w:rPr>
        <w:t>3</w:t>
      </w:r>
      <w:r>
        <w:rPr>
          <w:rFonts w:hint="eastAsia" w:ascii="仿宋_GB2312" w:hAnsi="仿宋_GB2312" w:eastAsia="仿宋_GB2312" w:cs="仿宋_GB2312"/>
          <w:sz w:val="32"/>
          <w:szCs w:val="32"/>
        </w:rPr>
        <w:t>万元；无政府性基金预算支出；无国有资本经营预算支出；无社会保险基金预算支出。我单位一般公共预算支出具体包括工资福利支出296.8</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万元，其中基本工资110.17万元，绩效奖金46.33万元，绩效工资88.4</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万元，机关事业单位基本养老保险缴费31.1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万元，职工基本医疗保险缴费20.04万元，其他社会保障缴费0.73万元；一般商品和服务支出33.4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万元，其中办公费1.89万元，邮电费2.08万元，租赁费0.6</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万元，公务接待费0.76万元，劳务费0.18万元，工会经费2.63万元，公务用车运行维护费2.68万元，其他交通费用21.69万元，其他商品和服务支出0.9万元。</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一般公共预算支出涵盖单位人员经费及公用经费。所有开支均按照我单位财务管理制度执行，严格按照资金管理办法使用，达到了预期效果，做到了资金投入合理，政策执行有力，资金落实到位，财务管理规范，提升了政府形象，提高了政府的公信力。</w:t>
      </w:r>
    </w:p>
    <w:p>
      <w:pPr>
        <w:spacing w:line="780" w:lineRule="exact"/>
        <w:ind w:firstLine="640" w:firstLineChars="200"/>
        <w:rPr>
          <w:rFonts w:eastAsia="黑体"/>
          <w:sz w:val="32"/>
          <w:szCs w:val="32"/>
        </w:rPr>
      </w:pPr>
      <w:r>
        <w:rPr>
          <w:rFonts w:eastAsia="黑体"/>
          <w:sz w:val="32"/>
          <w:szCs w:val="32"/>
        </w:rPr>
        <w:t>七、存在的问题及原因分析</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w:t>
      </w:r>
      <w:r>
        <w:rPr>
          <w:rFonts w:ascii="仿宋_GB2312" w:hAnsi="仿宋_GB2312" w:eastAsia="仿宋_GB2312" w:cs="仿宋_GB2312"/>
          <w:sz w:val="32"/>
          <w:szCs w:val="32"/>
        </w:rPr>
        <w:t>因受疫情影响，项目工作安排的执行力度有所滞后，加之</w:t>
      </w:r>
      <w:r>
        <w:rPr>
          <w:rFonts w:hint="eastAsia" w:ascii="仿宋_GB2312" w:hAnsi="仿宋_GB2312" w:eastAsia="仿宋_GB2312" w:cs="仿宋_GB2312"/>
          <w:sz w:val="32"/>
          <w:szCs w:val="32"/>
        </w:rPr>
        <w:t>单位因公开招聘及人才引进工作的完成，</w:t>
      </w:r>
      <w:r>
        <w:rPr>
          <w:rFonts w:ascii="仿宋_GB2312" w:hAnsi="仿宋_GB2312" w:eastAsia="仿宋_GB2312" w:cs="仿宋_GB2312"/>
          <w:sz w:val="32"/>
          <w:szCs w:val="32"/>
        </w:rPr>
        <w:t>部分局室人员</w:t>
      </w:r>
      <w:r>
        <w:rPr>
          <w:rFonts w:hint="eastAsia" w:ascii="仿宋_GB2312" w:hAnsi="仿宋_GB2312" w:eastAsia="仿宋_GB2312" w:cs="仿宋_GB2312"/>
          <w:sz w:val="32"/>
          <w:szCs w:val="32"/>
        </w:rPr>
        <w:t>变</w:t>
      </w:r>
      <w:r>
        <w:rPr>
          <w:rFonts w:ascii="仿宋_GB2312" w:hAnsi="仿宋_GB2312" w:eastAsia="仿宋_GB2312" w:cs="仿宋_GB2312"/>
          <w:sz w:val="32"/>
          <w:szCs w:val="32"/>
        </w:rPr>
        <w:t>动，工作分配出现变动，在一定程度上也影响了工作进度，造成绩效目标出现偏差。</w:t>
      </w:r>
    </w:p>
    <w:p>
      <w:pPr>
        <w:spacing w:line="780" w:lineRule="exact"/>
        <w:ind w:firstLine="640" w:firstLineChars="200"/>
        <w:rPr>
          <w:rFonts w:eastAsia="黑体"/>
          <w:sz w:val="32"/>
          <w:szCs w:val="32"/>
        </w:rPr>
      </w:pPr>
      <w:r>
        <w:rPr>
          <w:rFonts w:eastAsia="黑体"/>
          <w:sz w:val="32"/>
          <w:szCs w:val="32"/>
        </w:rPr>
        <w:t>八、下一步改进措施</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做好跟踪检查工作。定期不定期地对工作实施情况和经费使用情况进行跟踪检查，对能实现预期绩效目标的项目予以充分肯定，对进展缓慢，预期绩效目标较差的项目，及时进行协调和提出整改措施，确保工作正常运行，达到预期绩效目标。</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1、着重针对偏差问题进行整改，积极应对，对之前的工作进行合理调配，采取加班加点、召开会议展开讨论等方式，在保证效率的前提下，如期完成工作任务。</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2、进一步健全和完善财务管理制度及内部控制制度，创新管理手段，用新思路、新方法，改进完善财务管理方法。</w:t>
      </w:r>
    </w:p>
    <w:p>
      <w:pPr>
        <w:spacing w:line="7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3、按照财政支出绩效管理的要求，建立科学的财政资金效益考评制度体系，不断提高财政资金使用管理的水平和效率。</w:t>
      </w:r>
    </w:p>
    <w:p>
      <w:pPr>
        <w:spacing w:line="780" w:lineRule="exact"/>
        <w:ind w:firstLine="640" w:firstLineChars="200"/>
        <w:rPr>
          <w:rFonts w:eastAsia="黑体"/>
          <w:sz w:val="32"/>
          <w:szCs w:val="32"/>
        </w:rPr>
      </w:pPr>
      <w:r>
        <w:rPr>
          <w:rFonts w:eastAsia="黑体"/>
          <w:sz w:val="32"/>
          <w:szCs w:val="32"/>
        </w:rPr>
        <w:t>九、部门整体支出绩效自评结果拟应用和公开情况</w:t>
      </w:r>
    </w:p>
    <w:p>
      <w:pPr>
        <w:spacing w:line="7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针对我单位部门整体支出绩效自评结果进行总结，积极整改，以为园区更好发展而努力；我单位2021年度部门整体支出绩效自评目前尚未公开。</w:t>
      </w:r>
    </w:p>
    <w:p>
      <w:pPr>
        <w:spacing w:line="780" w:lineRule="exact"/>
        <w:ind w:firstLine="640" w:firstLineChars="200"/>
        <w:rPr>
          <w:rFonts w:eastAsia="黑体"/>
          <w:sz w:val="32"/>
          <w:szCs w:val="32"/>
        </w:rPr>
      </w:pPr>
      <w:r>
        <w:rPr>
          <w:rFonts w:hint="eastAsia" w:eastAsia="黑体"/>
          <w:sz w:val="32"/>
          <w:szCs w:val="32"/>
        </w:rPr>
        <w:t>十、其他需要说明的情况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整体绩效自评报告需要以下附件：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1.2021年度部门整体支出绩效评价基础数据表 </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2.2021年度部门整体支出绩效自评表</w:t>
      </w:r>
    </w:p>
    <w:p>
      <w:pPr>
        <w:spacing w:line="640" w:lineRule="exact"/>
        <w:ind w:firstLine="640" w:firstLineChars="200"/>
        <w:rPr>
          <w:rFonts w:hint="eastAsia" w:ascii="仿宋_GB2312" w:hAnsi="仿宋_GB2312" w:eastAsia="仿宋_GB2312" w:cs="仿宋_GB2312"/>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rPr>
          <w:rFonts w:hint="eastAsia" w:cs="宋体" w:asciiTheme="minorEastAsia" w:hAnsiTheme="minorEastAsia"/>
          <w:kern w:val="1"/>
          <w:sz w:val="32"/>
          <w:szCs w:val="32"/>
        </w:rPr>
      </w:pPr>
    </w:p>
    <w:p>
      <w:pPr>
        <w:pStyle w:val="10"/>
        <w:jc w:val="center"/>
        <w:rPr>
          <w:rFonts w:hint="eastAsia" w:ascii="方正小标宋简体" w:eastAsia="方正小标宋简体"/>
          <w:sz w:val="44"/>
          <w:szCs w:val="44"/>
        </w:rPr>
      </w:pPr>
      <w:r>
        <w:rPr>
          <w:rFonts w:hint="eastAsia" w:ascii="方正小标宋简体" w:eastAsia="方正小标宋简体"/>
          <w:sz w:val="44"/>
          <w:szCs w:val="44"/>
        </w:rPr>
        <w:t>湖南永州国家农业科技园区管理委员会2021年度项目支出绩效自评报告</w:t>
      </w:r>
    </w:p>
    <w:p>
      <w:pPr>
        <w:spacing w:line="640" w:lineRule="exact"/>
        <w:ind w:firstLine="640" w:firstLineChars="200"/>
        <w:rPr>
          <w:rFonts w:hint="eastAsia" w:ascii="仿宋_GB2312" w:hAnsi="仿宋_GB2312" w:eastAsia="仿宋_GB2312" w:cs="仿宋_GB2312"/>
          <w:sz w:val="32"/>
          <w:szCs w:val="32"/>
        </w:rPr>
      </w:pPr>
    </w:p>
    <w:p>
      <w:pPr>
        <w:spacing w:line="780" w:lineRule="exact"/>
        <w:ind w:firstLine="640" w:firstLineChars="200"/>
        <w:rPr>
          <w:rFonts w:hint="eastAsia" w:cs="宋体" w:asciiTheme="minorEastAsia" w:hAnsiTheme="minorEastAsia"/>
          <w:kern w:val="1"/>
          <w:sz w:val="32"/>
          <w:szCs w:val="32"/>
        </w:rPr>
      </w:pPr>
      <w:r>
        <w:rPr>
          <w:rFonts w:hint="eastAsia" w:ascii="仿宋_GB2312" w:hAnsi="仿宋_GB2312" w:eastAsia="仿宋_GB2312" w:cs="仿宋_GB2312"/>
          <w:sz w:val="32"/>
          <w:szCs w:val="32"/>
        </w:rPr>
        <w:t>我单位2021年度项目支出数为0元，因此我单位2021年度无项目支出绩效自评报告。</w:t>
      </w:r>
    </w:p>
    <w:p>
      <w:pPr>
        <w:spacing w:line="78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hint="eastAsia" w:cs="宋体" w:asciiTheme="minorEastAsia" w:hAnsiTheme="minorEastAsia"/>
          <w:kern w:val="1"/>
          <w:sz w:val="32"/>
          <w:szCs w:val="32"/>
        </w:rPr>
      </w:pPr>
    </w:p>
    <w:p>
      <w:pPr>
        <w:spacing w:line="640" w:lineRule="exact"/>
        <w:ind w:firstLine="640" w:firstLineChars="200"/>
        <w:rPr>
          <w:rFonts w:cs="宋体" w:asciiTheme="minorEastAsia" w:hAnsiTheme="minorEastAsia"/>
          <w:kern w:val="1"/>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hakuyoxingshu7000"/>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2" w:usb3="00000000" w:csb0="00040001" w:csb1="00000000"/>
  </w:font>
  <w:font w:name="hakuyoxingshu7000">
    <w:panose1 w:val="02000600000000000000"/>
    <w:charset w:val="86"/>
    <w:family w:val="auto"/>
    <w:pitch w:val="default"/>
    <w:sig w:usb0="FFFFFFFF" w:usb1="E9FFFFFF" w:usb2="0000003F" w:usb3="00000000" w:csb0="603F00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E3DA24"/>
    <w:multiLevelType w:val="singleLevel"/>
    <w:tmpl w:val="D9E3DA24"/>
    <w:lvl w:ilvl="0" w:tentative="0">
      <w:start w:val="1"/>
      <w:numFmt w:val="chineseCounting"/>
      <w:suff w:val="nothing"/>
      <w:lvlText w:val="%1、"/>
      <w:lvlJc w:val="left"/>
      <w:pPr>
        <w:ind w:left="0" w:firstLine="0"/>
      </w:pPr>
    </w:lvl>
  </w:abstractNum>
  <w:abstractNum w:abstractNumId="1">
    <w:nsid w:val="373518C1"/>
    <w:multiLevelType w:val="multilevel"/>
    <w:tmpl w:val="373518C1"/>
    <w:lvl w:ilvl="0" w:tentative="0">
      <w:start w:val="1"/>
      <w:numFmt w:val="none"/>
      <w:lvlText w:val="一、"/>
      <w:lvlJc w:val="left"/>
      <w:pPr>
        <w:ind w:left="1146"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BBD4B7D"/>
    <w:multiLevelType w:val="multilevel"/>
    <w:tmpl w:val="4BBD4B7D"/>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g3OTNlODE3ODZmMmIxNGRiYWNhM2RjYmYxNTEyZDIifQ=="/>
  </w:docVars>
  <w:rsids>
    <w:rsidRoot w:val="004506F9"/>
    <w:rsid w:val="0002229B"/>
    <w:rsid w:val="00025307"/>
    <w:rsid w:val="000273BD"/>
    <w:rsid w:val="00031D5D"/>
    <w:rsid w:val="0003538D"/>
    <w:rsid w:val="000415B7"/>
    <w:rsid w:val="00041E3F"/>
    <w:rsid w:val="000514A1"/>
    <w:rsid w:val="0005258F"/>
    <w:rsid w:val="00055DAA"/>
    <w:rsid w:val="00060775"/>
    <w:rsid w:val="00061F7B"/>
    <w:rsid w:val="00061FEF"/>
    <w:rsid w:val="000658A3"/>
    <w:rsid w:val="000708F3"/>
    <w:rsid w:val="00074155"/>
    <w:rsid w:val="000873EF"/>
    <w:rsid w:val="00094FFC"/>
    <w:rsid w:val="000A022F"/>
    <w:rsid w:val="000A3F69"/>
    <w:rsid w:val="000A51EF"/>
    <w:rsid w:val="000A7B52"/>
    <w:rsid w:val="000B1F14"/>
    <w:rsid w:val="000C0612"/>
    <w:rsid w:val="000D0D17"/>
    <w:rsid w:val="000D0D6D"/>
    <w:rsid w:val="000D5963"/>
    <w:rsid w:val="000E0008"/>
    <w:rsid w:val="000E19FF"/>
    <w:rsid w:val="000E2620"/>
    <w:rsid w:val="000E5153"/>
    <w:rsid w:val="000E76D5"/>
    <w:rsid w:val="00100F8D"/>
    <w:rsid w:val="00103957"/>
    <w:rsid w:val="00111E9A"/>
    <w:rsid w:val="00111EE5"/>
    <w:rsid w:val="00117D72"/>
    <w:rsid w:val="00124A1F"/>
    <w:rsid w:val="00126EFD"/>
    <w:rsid w:val="001309B9"/>
    <w:rsid w:val="00130E69"/>
    <w:rsid w:val="0014058E"/>
    <w:rsid w:val="001429E8"/>
    <w:rsid w:val="00152C6D"/>
    <w:rsid w:val="001539E4"/>
    <w:rsid w:val="00162D39"/>
    <w:rsid w:val="00163A1A"/>
    <w:rsid w:val="001678BD"/>
    <w:rsid w:val="00182373"/>
    <w:rsid w:val="00182A9E"/>
    <w:rsid w:val="00191050"/>
    <w:rsid w:val="00191383"/>
    <w:rsid w:val="00197F7A"/>
    <w:rsid w:val="001A2C24"/>
    <w:rsid w:val="001A48C5"/>
    <w:rsid w:val="001A57D6"/>
    <w:rsid w:val="001A64EA"/>
    <w:rsid w:val="001A67DB"/>
    <w:rsid w:val="001C1636"/>
    <w:rsid w:val="001C3C29"/>
    <w:rsid w:val="001C5E80"/>
    <w:rsid w:val="001D51E5"/>
    <w:rsid w:val="001E080D"/>
    <w:rsid w:val="001E139F"/>
    <w:rsid w:val="001E53D0"/>
    <w:rsid w:val="001F0C3B"/>
    <w:rsid w:val="002006C8"/>
    <w:rsid w:val="00202C14"/>
    <w:rsid w:val="00202C82"/>
    <w:rsid w:val="00214427"/>
    <w:rsid w:val="00226CB7"/>
    <w:rsid w:val="00227096"/>
    <w:rsid w:val="00232F77"/>
    <w:rsid w:val="002455E9"/>
    <w:rsid w:val="002469E6"/>
    <w:rsid w:val="00250ECB"/>
    <w:rsid w:val="00264552"/>
    <w:rsid w:val="00264EF9"/>
    <w:rsid w:val="00265724"/>
    <w:rsid w:val="00271FE0"/>
    <w:rsid w:val="0027426B"/>
    <w:rsid w:val="00276BE8"/>
    <w:rsid w:val="0028356B"/>
    <w:rsid w:val="00285393"/>
    <w:rsid w:val="0028716D"/>
    <w:rsid w:val="00296FB5"/>
    <w:rsid w:val="002A277E"/>
    <w:rsid w:val="002C2BAA"/>
    <w:rsid w:val="002D5349"/>
    <w:rsid w:val="002E08D6"/>
    <w:rsid w:val="002E0A30"/>
    <w:rsid w:val="002E3FBB"/>
    <w:rsid w:val="002E7F85"/>
    <w:rsid w:val="002F787A"/>
    <w:rsid w:val="00305B36"/>
    <w:rsid w:val="003120ED"/>
    <w:rsid w:val="00312CF0"/>
    <w:rsid w:val="003130C4"/>
    <w:rsid w:val="00313CF2"/>
    <w:rsid w:val="00315BA1"/>
    <w:rsid w:val="00316C4B"/>
    <w:rsid w:val="00316E0D"/>
    <w:rsid w:val="00321052"/>
    <w:rsid w:val="0032192B"/>
    <w:rsid w:val="00324B19"/>
    <w:rsid w:val="00330F83"/>
    <w:rsid w:val="00341525"/>
    <w:rsid w:val="00342B7C"/>
    <w:rsid w:val="00347893"/>
    <w:rsid w:val="003479BD"/>
    <w:rsid w:val="003541B6"/>
    <w:rsid w:val="003560D9"/>
    <w:rsid w:val="00357066"/>
    <w:rsid w:val="0037197D"/>
    <w:rsid w:val="0037337D"/>
    <w:rsid w:val="003768D5"/>
    <w:rsid w:val="00377807"/>
    <w:rsid w:val="00380D06"/>
    <w:rsid w:val="00382235"/>
    <w:rsid w:val="0039098C"/>
    <w:rsid w:val="00393A1D"/>
    <w:rsid w:val="00395192"/>
    <w:rsid w:val="003A557E"/>
    <w:rsid w:val="003C4197"/>
    <w:rsid w:val="003C47E6"/>
    <w:rsid w:val="003C4FC2"/>
    <w:rsid w:val="003D3448"/>
    <w:rsid w:val="003D6873"/>
    <w:rsid w:val="003E2331"/>
    <w:rsid w:val="003E2CF8"/>
    <w:rsid w:val="003F5177"/>
    <w:rsid w:val="0040265C"/>
    <w:rsid w:val="00405F63"/>
    <w:rsid w:val="004122E8"/>
    <w:rsid w:val="00413502"/>
    <w:rsid w:val="00416E61"/>
    <w:rsid w:val="0042790C"/>
    <w:rsid w:val="004346B3"/>
    <w:rsid w:val="00441F0B"/>
    <w:rsid w:val="004506F9"/>
    <w:rsid w:val="00465AD4"/>
    <w:rsid w:val="004717A2"/>
    <w:rsid w:val="00473DF3"/>
    <w:rsid w:val="00477A51"/>
    <w:rsid w:val="00487911"/>
    <w:rsid w:val="00491741"/>
    <w:rsid w:val="00493B10"/>
    <w:rsid w:val="004B09EB"/>
    <w:rsid w:val="004B0CEE"/>
    <w:rsid w:val="004C3959"/>
    <w:rsid w:val="004C544C"/>
    <w:rsid w:val="004D750D"/>
    <w:rsid w:val="004E00CA"/>
    <w:rsid w:val="00500E5F"/>
    <w:rsid w:val="005016BD"/>
    <w:rsid w:val="00502BD0"/>
    <w:rsid w:val="005122EF"/>
    <w:rsid w:val="0051441A"/>
    <w:rsid w:val="00517C33"/>
    <w:rsid w:val="00517D5F"/>
    <w:rsid w:val="00520FF6"/>
    <w:rsid w:val="00521AF2"/>
    <w:rsid w:val="00523644"/>
    <w:rsid w:val="00527AA3"/>
    <w:rsid w:val="00532167"/>
    <w:rsid w:val="0054069E"/>
    <w:rsid w:val="00544866"/>
    <w:rsid w:val="005466D5"/>
    <w:rsid w:val="00560DE6"/>
    <w:rsid w:val="00561F3F"/>
    <w:rsid w:val="00562183"/>
    <w:rsid w:val="00565210"/>
    <w:rsid w:val="005668F7"/>
    <w:rsid w:val="005738E9"/>
    <w:rsid w:val="00575C51"/>
    <w:rsid w:val="005767CC"/>
    <w:rsid w:val="005775CD"/>
    <w:rsid w:val="00584A2D"/>
    <w:rsid w:val="00590D9F"/>
    <w:rsid w:val="00595D26"/>
    <w:rsid w:val="005A3612"/>
    <w:rsid w:val="005A3EC4"/>
    <w:rsid w:val="005A74E6"/>
    <w:rsid w:val="005B34DD"/>
    <w:rsid w:val="005B404E"/>
    <w:rsid w:val="005B4BED"/>
    <w:rsid w:val="005B6E0E"/>
    <w:rsid w:val="005B7FD6"/>
    <w:rsid w:val="005C56FA"/>
    <w:rsid w:val="005D0BDF"/>
    <w:rsid w:val="005D4D55"/>
    <w:rsid w:val="005D53B1"/>
    <w:rsid w:val="005D59C7"/>
    <w:rsid w:val="005E2CFB"/>
    <w:rsid w:val="005F02DA"/>
    <w:rsid w:val="005F2103"/>
    <w:rsid w:val="005F2FF3"/>
    <w:rsid w:val="005F3D1C"/>
    <w:rsid w:val="006109AB"/>
    <w:rsid w:val="0061533C"/>
    <w:rsid w:val="0062378F"/>
    <w:rsid w:val="00632BB9"/>
    <w:rsid w:val="0063315D"/>
    <w:rsid w:val="00640415"/>
    <w:rsid w:val="00641842"/>
    <w:rsid w:val="0064465A"/>
    <w:rsid w:val="00651EEC"/>
    <w:rsid w:val="00653795"/>
    <w:rsid w:val="00653D24"/>
    <w:rsid w:val="00655E31"/>
    <w:rsid w:val="00672F9D"/>
    <w:rsid w:val="006779A0"/>
    <w:rsid w:val="00686673"/>
    <w:rsid w:val="00691E8C"/>
    <w:rsid w:val="00696021"/>
    <w:rsid w:val="00696830"/>
    <w:rsid w:val="00696B89"/>
    <w:rsid w:val="006A22C4"/>
    <w:rsid w:val="006A348B"/>
    <w:rsid w:val="006A351B"/>
    <w:rsid w:val="006A7806"/>
    <w:rsid w:val="006B0422"/>
    <w:rsid w:val="006B1CE3"/>
    <w:rsid w:val="006B2E17"/>
    <w:rsid w:val="006C1B53"/>
    <w:rsid w:val="006D5005"/>
    <w:rsid w:val="006D7730"/>
    <w:rsid w:val="006E264A"/>
    <w:rsid w:val="006E5284"/>
    <w:rsid w:val="006E724A"/>
    <w:rsid w:val="006F2058"/>
    <w:rsid w:val="006F2886"/>
    <w:rsid w:val="006F3EB5"/>
    <w:rsid w:val="006F4DD7"/>
    <w:rsid w:val="006F5361"/>
    <w:rsid w:val="00702E34"/>
    <w:rsid w:val="00704395"/>
    <w:rsid w:val="007066F7"/>
    <w:rsid w:val="00710FE7"/>
    <w:rsid w:val="00717621"/>
    <w:rsid w:val="00720FF1"/>
    <w:rsid w:val="00727A53"/>
    <w:rsid w:val="00752628"/>
    <w:rsid w:val="00763388"/>
    <w:rsid w:val="007641D1"/>
    <w:rsid w:val="0077659D"/>
    <w:rsid w:val="00777221"/>
    <w:rsid w:val="00785331"/>
    <w:rsid w:val="00787B42"/>
    <w:rsid w:val="007A24EE"/>
    <w:rsid w:val="007B3A60"/>
    <w:rsid w:val="007B64CD"/>
    <w:rsid w:val="007C4539"/>
    <w:rsid w:val="007D74DD"/>
    <w:rsid w:val="007E6DC8"/>
    <w:rsid w:val="007F0C66"/>
    <w:rsid w:val="007F3657"/>
    <w:rsid w:val="00812ED5"/>
    <w:rsid w:val="00813B4F"/>
    <w:rsid w:val="00824150"/>
    <w:rsid w:val="008277D9"/>
    <w:rsid w:val="0083285B"/>
    <w:rsid w:val="00835DDE"/>
    <w:rsid w:val="008417F0"/>
    <w:rsid w:val="0084478C"/>
    <w:rsid w:val="008531A6"/>
    <w:rsid w:val="00863D5B"/>
    <w:rsid w:val="00865927"/>
    <w:rsid w:val="0086638C"/>
    <w:rsid w:val="008750FE"/>
    <w:rsid w:val="0088695B"/>
    <w:rsid w:val="0089326D"/>
    <w:rsid w:val="008A3E8D"/>
    <w:rsid w:val="008A6720"/>
    <w:rsid w:val="008C43ED"/>
    <w:rsid w:val="008C4B1D"/>
    <w:rsid w:val="008C6231"/>
    <w:rsid w:val="008D2852"/>
    <w:rsid w:val="008F32CE"/>
    <w:rsid w:val="008F3C26"/>
    <w:rsid w:val="00903E1E"/>
    <w:rsid w:val="009159E6"/>
    <w:rsid w:val="00915D58"/>
    <w:rsid w:val="009168D4"/>
    <w:rsid w:val="00922E69"/>
    <w:rsid w:val="009237C4"/>
    <w:rsid w:val="00923B4C"/>
    <w:rsid w:val="009328BD"/>
    <w:rsid w:val="00937346"/>
    <w:rsid w:val="009426DD"/>
    <w:rsid w:val="00944C48"/>
    <w:rsid w:val="00950252"/>
    <w:rsid w:val="0095482F"/>
    <w:rsid w:val="00967F5D"/>
    <w:rsid w:val="009708A5"/>
    <w:rsid w:val="00981593"/>
    <w:rsid w:val="00983663"/>
    <w:rsid w:val="00993BEC"/>
    <w:rsid w:val="009A0F95"/>
    <w:rsid w:val="009A24F2"/>
    <w:rsid w:val="009A6A2B"/>
    <w:rsid w:val="009B3ADF"/>
    <w:rsid w:val="009C3B52"/>
    <w:rsid w:val="009D17FD"/>
    <w:rsid w:val="009E4F07"/>
    <w:rsid w:val="009E6817"/>
    <w:rsid w:val="009E6E9A"/>
    <w:rsid w:val="009F0465"/>
    <w:rsid w:val="00A01D2B"/>
    <w:rsid w:val="00A02754"/>
    <w:rsid w:val="00A2277E"/>
    <w:rsid w:val="00A2497F"/>
    <w:rsid w:val="00A27ABF"/>
    <w:rsid w:val="00A32A00"/>
    <w:rsid w:val="00A42218"/>
    <w:rsid w:val="00A46ACF"/>
    <w:rsid w:val="00A50F80"/>
    <w:rsid w:val="00A524E0"/>
    <w:rsid w:val="00A61760"/>
    <w:rsid w:val="00A7013F"/>
    <w:rsid w:val="00A70249"/>
    <w:rsid w:val="00A70B02"/>
    <w:rsid w:val="00A71D9F"/>
    <w:rsid w:val="00A748E3"/>
    <w:rsid w:val="00A77ABC"/>
    <w:rsid w:val="00A80116"/>
    <w:rsid w:val="00A8047C"/>
    <w:rsid w:val="00A864B5"/>
    <w:rsid w:val="00A86B85"/>
    <w:rsid w:val="00A92E9F"/>
    <w:rsid w:val="00A93EAF"/>
    <w:rsid w:val="00A945DD"/>
    <w:rsid w:val="00AA1E1B"/>
    <w:rsid w:val="00AB5D32"/>
    <w:rsid w:val="00AB7695"/>
    <w:rsid w:val="00AC7D75"/>
    <w:rsid w:val="00AD0FAB"/>
    <w:rsid w:val="00AD614C"/>
    <w:rsid w:val="00AE7741"/>
    <w:rsid w:val="00B049E8"/>
    <w:rsid w:val="00B061E9"/>
    <w:rsid w:val="00B13CE1"/>
    <w:rsid w:val="00B16352"/>
    <w:rsid w:val="00B173A2"/>
    <w:rsid w:val="00B22DD0"/>
    <w:rsid w:val="00B26D43"/>
    <w:rsid w:val="00B33BEA"/>
    <w:rsid w:val="00B50449"/>
    <w:rsid w:val="00B55524"/>
    <w:rsid w:val="00B57C9F"/>
    <w:rsid w:val="00B57D86"/>
    <w:rsid w:val="00B623D4"/>
    <w:rsid w:val="00B63572"/>
    <w:rsid w:val="00B6699B"/>
    <w:rsid w:val="00B74827"/>
    <w:rsid w:val="00B80574"/>
    <w:rsid w:val="00B80A3C"/>
    <w:rsid w:val="00B845B3"/>
    <w:rsid w:val="00B85D24"/>
    <w:rsid w:val="00B85D8B"/>
    <w:rsid w:val="00B923FA"/>
    <w:rsid w:val="00BA2908"/>
    <w:rsid w:val="00BB3331"/>
    <w:rsid w:val="00BB4A40"/>
    <w:rsid w:val="00BC09C7"/>
    <w:rsid w:val="00BC17A0"/>
    <w:rsid w:val="00BD6C3E"/>
    <w:rsid w:val="00BE3674"/>
    <w:rsid w:val="00BE769C"/>
    <w:rsid w:val="00BF7E55"/>
    <w:rsid w:val="00C045B4"/>
    <w:rsid w:val="00C07446"/>
    <w:rsid w:val="00C10681"/>
    <w:rsid w:val="00C25E4A"/>
    <w:rsid w:val="00C3049A"/>
    <w:rsid w:val="00C31B1E"/>
    <w:rsid w:val="00C43E52"/>
    <w:rsid w:val="00C45B6A"/>
    <w:rsid w:val="00C50E44"/>
    <w:rsid w:val="00C55351"/>
    <w:rsid w:val="00C6206A"/>
    <w:rsid w:val="00C623C2"/>
    <w:rsid w:val="00C65D5D"/>
    <w:rsid w:val="00C73C40"/>
    <w:rsid w:val="00C75A3B"/>
    <w:rsid w:val="00C77645"/>
    <w:rsid w:val="00C975C3"/>
    <w:rsid w:val="00CD64BC"/>
    <w:rsid w:val="00CE04C3"/>
    <w:rsid w:val="00CE3258"/>
    <w:rsid w:val="00CE4C29"/>
    <w:rsid w:val="00CE5C0A"/>
    <w:rsid w:val="00CE6191"/>
    <w:rsid w:val="00CE76A0"/>
    <w:rsid w:val="00CE7A93"/>
    <w:rsid w:val="00D00CF6"/>
    <w:rsid w:val="00D10E9B"/>
    <w:rsid w:val="00D126BC"/>
    <w:rsid w:val="00D148C6"/>
    <w:rsid w:val="00D163C4"/>
    <w:rsid w:val="00D17A8A"/>
    <w:rsid w:val="00D264B1"/>
    <w:rsid w:val="00D30A93"/>
    <w:rsid w:val="00D340B3"/>
    <w:rsid w:val="00D415BA"/>
    <w:rsid w:val="00D46C76"/>
    <w:rsid w:val="00D53AAD"/>
    <w:rsid w:val="00D5760D"/>
    <w:rsid w:val="00D63780"/>
    <w:rsid w:val="00D644EE"/>
    <w:rsid w:val="00D65F12"/>
    <w:rsid w:val="00D74FB4"/>
    <w:rsid w:val="00D75489"/>
    <w:rsid w:val="00DA08B2"/>
    <w:rsid w:val="00DA168E"/>
    <w:rsid w:val="00DB33FB"/>
    <w:rsid w:val="00DC4A8C"/>
    <w:rsid w:val="00DD06FF"/>
    <w:rsid w:val="00DD5FE9"/>
    <w:rsid w:val="00DF4A94"/>
    <w:rsid w:val="00DF7349"/>
    <w:rsid w:val="00E00C7A"/>
    <w:rsid w:val="00E13D29"/>
    <w:rsid w:val="00E209CF"/>
    <w:rsid w:val="00E21C23"/>
    <w:rsid w:val="00E227EE"/>
    <w:rsid w:val="00E27364"/>
    <w:rsid w:val="00E338B5"/>
    <w:rsid w:val="00E34D18"/>
    <w:rsid w:val="00E355E6"/>
    <w:rsid w:val="00E37D6C"/>
    <w:rsid w:val="00E40CC6"/>
    <w:rsid w:val="00E418D0"/>
    <w:rsid w:val="00E435A2"/>
    <w:rsid w:val="00E442AC"/>
    <w:rsid w:val="00E44FF9"/>
    <w:rsid w:val="00E47BBA"/>
    <w:rsid w:val="00E521E8"/>
    <w:rsid w:val="00E55B68"/>
    <w:rsid w:val="00E667D0"/>
    <w:rsid w:val="00E67BE6"/>
    <w:rsid w:val="00E84695"/>
    <w:rsid w:val="00E84F5E"/>
    <w:rsid w:val="00E8683C"/>
    <w:rsid w:val="00EA2B72"/>
    <w:rsid w:val="00EA50C9"/>
    <w:rsid w:val="00EC714B"/>
    <w:rsid w:val="00ED12E0"/>
    <w:rsid w:val="00ED487D"/>
    <w:rsid w:val="00ED6A54"/>
    <w:rsid w:val="00EE4C72"/>
    <w:rsid w:val="00F06247"/>
    <w:rsid w:val="00F26A38"/>
    <w:rsid w:val="00F277CD"/>
    <w:rsid w:val="00F27828"/>
    <w:rsid w:val="00F27FC1"/>
    <w:rsid w:val="00F34AB7"/>
    <w:rsid w:val="00F3768E"/>
    <w:rsid w:val="00F447F0"/>
    <w:rsid w:val="00F5342C"/>
    <w:rsid w:val="00F71D1E"/>
    <w:rsid w:val="00F71F03"/>
    <w:rsid w:val="00F74360"/>
    <w:rsid w:val="00F8190A"/>
    <w:rsid w:val="00F849E7"/>
    <w:rsid w:val="00F93EB2"/>
    <w:rsid w:val="00F9719C"/>
    <w:rsid w:val="00FA3CDA"/>
    <w:rsid w:val="00FA7305"/>
    <w:rsid w:val="00FB0574"/>
    <w:rsid w:val="00FB462F"/>
    <w:rsid w:val="00FB4F01"/>
    <w:rsid w:val="00FB6355"/>
    <w:rsid w:val="00FC0C2C"/>
    <w:rsid w:val="00FC2B05"/>
    <w:rsid w:val="00FD79EB"/>
    <w:rsid w:val="00FE0DCA"/>
    <w:rsid w:val="00FE16FA"/>
    <w:rsid w:val="00FE312E"/>
    <w:rsid w:val="00FE328A"/>
    <w:rsid w:val="00FE430D"/>
    <w:rsid w:val="00FE6269"/>
    <w:rsid w:val="00FF5CD6"/>
    <w:rsid w:val="00FF6A98"/>
    <w:rsid w:val="3FF30249"/>
    <w:rsid w:val="569C7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FB9E3-40C5-4D54-BEC5-5FECB2E6D5D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7438</Words>
  <Characters>8093</Characters>
  <Lines>59</Lines>
  <Paragraphs>16</Paragraphs>
  <TotalTime>9</TotalTime>
  <ScaleCrop>false</ScaleCrop>
  <LinksUpToDate>false</LinksUpToDate>
  <CharactersWithSpaces>8126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2022-09-13T01:42:00Z</dcterms:created>
  <dc:creator>李航 null</dc:creator>
  <cp:lastModifiedBy>Administrator</cp:lastModifiedBy>
  <cp:lastPrinted>2022-07-27T12:55:00Z</cp:lastPrinted>
  <dcterms:modified xsi:type="dcterms:W3CDTF">2023-08-25T01:01:54Z</dcterms:modified>
  <cp:revision>424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6518EE5227B945CDA876E1036FA1ADAF_12</vt:lpwstr>
  </property>
</Properties>
</file>