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2</w:t>
      </w:r>
      <w:r>
        <w:rPr>
          <w:rFonts w:hint="eastAsia" w:ascii="方正小标宋_GBK" w:hAnsi="方正小标宋_GBK" w:eastAsia="方正小标宋_GBK" w:cs="方正小标宋_GBK"/>
          <w:sz w:val="84"/>
          <w:szCs w:val="84"/>
        </w:rPr>
        <w:t>年度</w:t>
      </w: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湖南永州国家农业科技园区管理委员会</w:t>
      </w:r>
      <w:r>
        <w:rPr>
          <w:rFonts w:hint="eastAsia" w:ascii="方正小标宋_GBK" w:hAnsi="方正小标宋_GBK" w:eastAsia="方正小标宋_GBK" w:cs="方正小标宋_GBK"/>
          <w:sz w:val="84"/>
          <w:szCs w:val="84"/>
        </w:rPr>
        <w:t>部门决算</w:t>
      </w:r>
    </w:p>
    <w:p>
      <w:pPr>
        <w:pStyle w:val="10"/>
        <w:jc w:val="center"/>
        <w:rPr>
          <w:rFonts w:hint="eastAsia" w:ascii="方正小标宋_GBK" w:hAnsi="方正小标宋_GBK" w:eastAsia="方正小标宋_GBK" w:cs="方正小标宋_GBK"/>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jc w:val="both"/>
        <w:rPr>
          <w:sz w:val="32"/>
          <w:szCs w:val="32"/>
        </w:rPr>
      </w:pPr>
    </w:p>
    <w:p>
      <w:pPr>
        <w:pStyle w:val="10"/>
        <w:spacing w:line="540" w:lineRule="exact"/>
        <w:jc w:val="center"/>
        <w:rPr>
          <w:sz w:val="56"/>
          <w:szCs w:val="56"/>
        </w:rPr>
      </w:pPr>
    </w:p>
    <w:p>
      <w:pPr>
        <w:pStyle w:val="10"/>
        <w:spacing w:line="500" w:lineRule="exact"/>
        <w:jc w:val="both"/>
        <w:rPr>
          <w:b/>
          <w:sz w:val="36"/>
          <w:szCs w:val="28"/>
        </w:rPr>
      </w:pPr>
    </w:p>
    <w:p>
      <w:pPr>
        <w:pStyle w:val="10"/>
        <w:spacing w:line="500" w:lineRule="exact"/>
        <w:jc w:val="center"/>
        <w:rPr>
          <w:rFonts w:hint="eastAsia"/>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color w:val="auto"/>
          <w:sz w:val="28"/>
          <w:szCs w:val="28"/>
          <w:lang w:eastAsia="zh-CN"/>
        </w:rPr>
        <w:t>湖南永州国家农业科技园区管理委员会</w:t>
      </w:r>
      <w:r>
        <w:rPr>
          <w:rFonts w:hint="eastAsia" w:ascii="黑体" w:hAnsi="黑体" w:eastAsia="黑体" w:cs="黑体"/>
          <w:b w:val="0"/>
          <w:bCs/>
          <w:sz w:val="28"/>
          <w:szCs w:val="28"/>
        </w:rPr>
        <w:t>概况</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0"/>
        <w:spacing w:line="500" w:lineRule="exact"/>
        <w:rPr>
          <w:rFonts w:hint="eastAsia" w:ascii="黑体" w:hAnsi="黑体" w:eastAsia="黑体" w:cs="黑体"/>
          <w:b w:val="0"/>
          <w:bCs/>
          <w:sz w:val="28"/>
          <w:szCs w:val="28"/>
          <w:lang w:eastAsia="zh-CN"/>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r>
        <w:rPr>
          <w:rFonts w:hint="eastAsia" w:ascii="仿宋_GB2312" w:hAnsi="仿宋_GB2312" w:eastAsia="仿宋_GB2312" w:cs="仿宋_GB2312"/>
          <w:sz w:val="28"/>
          <w:szCs w:val="28"/>
          <w:lang w:eastAsia="zh-CN"/>
        </w:rPr>
        <w:t>（说明：</w:t>
      </w:r>
      <w:r>
        <w:rPr>
          <w:rFonts w:hint="eastAsia" w:ascii="仿宋_GB2312" w:hAnsi="仿宋_GB2312" w:eastAsia="仿宋_GB2312" w:cs="仿宋_GB2312"/>
          <w:sz w:val="28"/>
          <w:szCs w:val="28"/>
          <w:lang w:val="en-US" w:eastAsia="zh-CN"/>
        </w:rPr>
        <w:t>本套报表金额单位转换时可能存在尾数误差。</w:t>
      </w:r>
      <w:r>
        <w:rPr>
          <w:rFonts w:hint="eastAsia" w:ascii="仿宋_GB2312" w:hAnsi="仿宋_GB2312" w:eastAsia="仿宋_GB2312" w:cs="仿宋_GB2312"/>
          <w:sz w:val="28"/>
          <w:szCs w:val="28"/>
          <w:lang w:eastAsia="zh-CN"/>
        </w:rPr>
        <w:t>）</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rPr>
        <w:t>三公</w:t>
      </w:r>
      <w:r>
        <w:rPr>
          <w:rFonts w:hint="eastAsia" w:ascii="仿宋_GB2312" w:hAnsi="仿宋_GB2312" w:eastAsia="仿宋_GB2312" w:cs="仿宋_GB2312"/>
          <w:color w:val="000000"/>
          <w:kern w:val="0"/>
          <w:sz w:val="28"/>
          <w:szCs w:val="28"/>
          <w:lang w:eastAsia="zh-CN"/>
        </w:rPr>
        <w:t>”</w:t>
      </w:r>
      <w:r>
        <w:rPr>
          <w:rFonts w:hint="eastAsia" w:ascii="仿宋_GB2312" w:hAnsi="仿宋_GB2312" w:eastAsia="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湖南永州国家农业科技园区管理委员会</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both"/>
        <w:rPr>
          <w:sz w:val="72"/>
          <w:szCs w:val="72"/>
        </w:rPr>
      </w:pPr>
    </w:p>
    <w:p>
      <w:pPr>
        <w:jc w:val="both"/>
        <w:rPr>
          <w:sz w:val="72"/>
          <w:szCs w:val="72"/>
        </w:rPr>
      </w:pPr>
    </w:p>
    <w:p>
      <w:pPr>
        <w:pStyle w:val="11"/>
        <w:numPr>
          <w:ilvl w:val="0"/>
          <w:numId w:val="1"/>
        </w:numPr>
        <w:ind w:leftChars="0" w:firstLine="960" w:firstLineChars="30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pStyle w:val="11"/>
        <w:adjustRightInd w:val="0"/>
        <w:snapToGrid w:val="0"/>
        <w:spacing w:line="780" w:lineRule="exact"/>
        <w:ind w:left="0" w:leftChars="0" w:firstLine="640" w:firstLineChars="200"/>
        <w:rPr>
          <w:rFonts w:hint="eastAsia" w:ascii="黑体" w:hAnsi="黑体" w:eastAsia="黑体" w:cs="黑体"/>
          <w:b w:val="0"/>
          <w:bCs w:val="0"/>
          <w:sz w:val="32"/>
          <w:szCs w:val="32"/>
        </w:rPr>
      </w:pPr>
      <w:r>
        <w:rPr>
          <w:rFonts w:hint="eastAsia" w:ascii="仿宋_GB2312" w:hAnsi="仿宋" w:eastAsia="仿宋_GB2312" w:cs="仿宋_GB2312"/>
          <w:color w:val="000000"/>
          <w:kern w:val="0"/>
          <w:sz w:val="32"/>
          <w:szCs w:val="32"/>
        </w:rPr>
        <w:t>根据《关于湖南永州国家农业科技园区管理委员会的批复》（湘编办复字〔2015〕56号）和《中共永州市委常委办公会议纪要》（2016第6期）精神，本部门的主要工作职责是：</w:t>
      </w:r>
    </w:p>
    <w:p>
      <w:pPr>
        <w:pStyle w:val="11"/>
        <w:adjustRightInd w:val="0"/>
        <w:snapToGrid w:val="0"/>
        <w:spacing w:line="780" w:lineRule="exact"/>
        <w:ind w:firstLine="960" w:firstLineChars="300"/>
        <w:rPr>
          <w:rFonts w:hint="eastAsia" w:ascii="仿宋_GB2312" w:hAnsi="仿宋_GB2312" w:eastAsia="仿宋_GB2312" w:cs="仿宋_GB2312"/>
          <w:b w:val="0"/>
          <w:bCs/>
          <w:kern w:val="0"/>
          <w:sz w:val="32"/>
          <w:szCs w:val="32"/>
          <w:lang w:eastAsia="zh-CN"/>
        </w:rPr>
      </w:pPr>
      <w:r>
        <w:rPr>
          <w:rFonts w:hint="eastAsia" w:ascii="仿宋_GB2312" w:hAnsi="仿宋_GB2312" w:eastAsia="仿宋_GB2312" w:cs="仿宋_GB2312"/>
          <w:b w:val="0"/>
          <w:bCs/>
          <w:kern w:val="0"/>
          <w:sz w:val="32"/>
          <w:szCs w:val="32"/>
        </w:rPr>
        <w:t>（一）</w:t>
      </w:r>
      <w:r>
        <w:rPr>
          <w:rFonts w:hint="eastAsia" w:ascii="仿宋_GB2312" w:hAnsi="仿宋" w:eastAsia="仿宋_GB2312" w:cs="仿宋_GB2312"/>
          <w:color w:val="000000"/>
          <w:kern w:val="0"/>
          <w:sz w:val="32"/>
          <w:szCs w:val="32"/>
        </w:rPr>
        <w:t>负责国家、省有关农业科技园区发展的法律、法规和政策的贯彻实施,落实市委、市政府的重要决策和工作部署。</w:t>
      </w:r>
    </w:p>
    <w:p>
      <w:pPr>
        <w:pStyle w:val="11"/>
        <w:adjustRightInd w:val="0"/>
        <w:snapToGrid w:val="0"/>
        <w:spacing w:line="780" w:lineRule="exact"/>
        <w:ind w:left="0" w:leftChars="0" w:firstLine="960" w:firstLineChars="300"/>
        <w:rPr>
          <w:rFonts w:ascii="仿宋_GB2312" w:hAnsi="仿宋" w:eastAsia="仿宋_GB2312" w:cs="仿宋_GB2312"/>
          <w:color w:val="000000"/>
          <w:kern w:val="0"/>
          <w:sz w:val="32"/>
          <w:szCs w:val="32"/>
        </w:rPr>
      </w:pPr>
      <w:r>
        <w:rPr>
          <w:rFonts w:hint="eastAsia" w:ascii="仿宋_GB2312" w:hAnsi="仿宋_GB2312" w:eastAsia="仿宋_GB2312" w:cs="仿宋_GB2312"/>
          <w:b w:val="0"/>
          <w:bCs/>
          <w:kern w:val="0"/>
          <w:sz w:val="32"/>
          <w:szCs w:val="32"/>
        </w:rPr>
        <w:t>（二）</w:t>
      </w:r>
      <w:r>
        <w:rPr>
          <w:rFonts w:hint="eastAsia" w:ascii="仿宋_GB2312" w:hAnsi="仿宋" w:eastAsia="仿宋_GB2312" w:cs="仿宋_GB2312"/>
          <w:color w:val="000000"/>
          <w:kern w:val="0"/>
          <w:sz w:val="32"/>
          <w:szCs w:val="32"/>
        </w:rPr>
        <w:t>根据全市国民经济和社会发展规划、土地利用总体规划,负责编制园区中长期发展规划和年度工作计划,经批准后组织实施。</w:t>
      </w:r>
    </w:p>
    <w:p>
      <w:pPr>
        <w:pStyle w:val="11"/>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（三）</w:t>
      </w:r>
      <w:r>
        <w:rPr>
          <w:rFonts w:hint="eastAsia" w:ascii="仿宋_GB2312" w:hAnsi="仿宋" w:eastAsia="仿宋_GB2312" w:cs="仿宋_GB2312"/>
          <w:color w:val="000000"/>
          <w:kern w:val="0"/>
          <w:sz w:val="32"/>
          <w:szCs w:val="32"/>
        </w:rPr>
        <w:t>负责园区农业科技成果、先进实用技术的引进、示范创新和推广,推进优质农产品标准化和产业化建设。</w:t>
      </w:r>
    </w:p>
    <w:p>
      <w:pPr>
        <w:pStyle w:val="11"/>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（四）</w:t>
      </w:r>
      <w:r>
        <w:rPr>
          <w:rFonts w:hint="eastAsia" w:ascii="仿宋_GB2312" w:hAnsi="仿宋" w:eastAsia="仿宋_GB2312" w:cs="仿宋_GB2312"/>
          <w:color w:val="000000"/>
          <w:kern w:val="0"/>
          <w:sz w:val="32"/>
          <w:szCs w:val="32"/>
        </w:rPr>
        <w:t>负责组织园区各类科技项目申报、实施和农业高新技术企业的申报以及科技成果鉴定、验收、奖励。</w:t>
      </w:r>
    </w:p>
    <w:p>
      <w:pPr>
        <w:pStyle w:val="11"/>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（五）</w:t>
      </w:r>
      <w:r>
        <w:rPr>
          <w:rFonts w:hint="eastAsia" w:ascii="仿宋_GB2312" w:hAnsi="仿宋" w:eastAsia="仿宋_GB2312" w:cs="仿宋_GB2312"/>
          <w:color w:val="000000"/>
          <w:kern w:val="0"/>
          <w:sz w:val="32"/>
          <w:szCs w:val="32"/>
        </w:rPr>
        <w:t>负责园区基础设施规划、建设和管理。</w:t>
      </w:r>
    </w:p>
    <w:p>
      <w:pPr>
        <w:pStyle w:val="11"/>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（六）</w:t>
      </w:r>
      <w:r>
        <w:rPr>
          <w:rFonts w:hint="eastAsia" w:ascii="仿宋_GB2312" w:hAnsi="仿宋" w:eastAsia="仿宋_GB2312" w:cs="仿宋_GB2312"/>
          <w:color w:val="000000"/>
          <w:kern w:val="0"/>
          <w:sz w:val="32"/>
          <w:szCs w:val="32"/>
        </w:rPr>
        <w:t>负贵园区建设融资和招商引资工作。</w:t>
      </w:r>
    </w:p>
    <w:p>
      <w:pPr>
        <w:pStyle w:val="11"/>
        <w:adjustRightInd w:val="0"/>
        <w:snapToGrid w:val="0"/>
        <w:spacing w:line="780" w:lineRule="exact"/>
        <w:ind w:firstLine="960" w:firstLineChars="300"/>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lang w:eastAsia="zh-CN"/>
        </w:rPr>
        <w:t>（七）</w:t>
      </w:r>
      <w:r>
        <w:rPr>
          <w:rFonts w:hint="eastAsia" w:ascii="仿宋_GB2312" w:hAnsi="仿宋" w:eastAsia="仿宋_GB2312" w:cs="仿宋_GB2312"/>
          <w:color w:val="000000"/>
          <w:kern w:val="0"/>
          <w:sz w:val="32"/>
          <w:szCs w:val="32"/>
        </w:rPr>
        <w:t>负责园区与各类科研机构(院校)开展合作交流,加强各类专业技术人才的引进、培训、培养工作。</w:t>
      </w:r>
    </w:p>
    <w:p>
      <w:pPr>
        <w:pStyle w:val="11"/>
        <w:adjustRightInd w:val="0"/>
        <w:snapToGrid w:val="0"/>
        <w:spacing w:line="780" w:lineRule="exact"/>
        <w:ind w:firstLine="960" w:firstLineChars="300"/>
        <w:rPr>
          <w:rFonts w:hint="eastAsia" w:ascii="仿宋_GB2312" w:hAnsi="仿宋_GB2312" w:eastAsia="楷体_GB2312" w:cs="仿宋_GB2312"/>
          <w:b w:val="0"/>
          <w:bCs/>
          <w:kern w:val="0"/>
          <w:sz w:val="32"/>
          <w:szCs w:val="32"/>
          <w:lang w:eastAsia="zh-CN"/>
        </w:rPr>
      </w:pPr>
      <w:r>
        <w:rPr>
          <w:rFonts w:hint="eastAsia" w:ascii="仿宋_GB2312" w:hAnsi="仿宋" w:eastAsia="仿宋_GB2312" w:cs="仿宋_GB2312"/>
          <w:color w:val="000000"/>
          <w:kern w:val="0"/>
          <w:sz w:val="32"/>
          <w:szCs w:val="32"/>
          <w:lang w:eastAsia="zh-CN"/>
        </w:rPr>
        <w:t>（八）</w:t>
      </w:r>
      <w:r>
        <w:rPr>
          <w:rFonts w:hint="eastAsia" w:ascii="仿宋_GB2312" w:hAnsi="仿宋" w:eastAsia="仿宋_GB2312" w:cs="仿宋_GB2312"/>
          <w:color w:val="000000"/>
          <w:kern w:val="0"/>
          <w:sz w:val="32"/>
          <w:szCs w:val="32"/>
        </w:rPr>
        <w:t>负贵园区党务、群团、人事、人才、统计、审计、财务、国有资产管理、人力资源和社会保障、社会管理综合治理、安全生产监督、环境卫生等工作。</w:t>
      </w:r>
    </w:p>
    <w:p>
      <w:pPr>
        <w:widowControl/>
        <w:spacing w:line="600" w:lineRule="exact"/>
        <w:ind w:firstLine="960" w:firstLineChars="300"/>
        <w:rPr>
          <w:rFonts w:hint="eastAsia" w:ascii="黑体" w:hAnsi="黑体" w:eastAsia="黑体" w:cs="黑体"/>
          <w:b w:val="0"/>
          <w:bCs w:val="0"/>
          <w:kern w:val="0"/>
          <w:sz w:val="32"/>
          <w:szCs w:val="32"/>
        </w:rPr>
      </w:pPr>
      <w:r>
        <w:rPr>
          <w:rFonts w:hint="eastAsia" w:ascii="黑体" w:hAnsi="黑体" w:eastAsia="黑体" w:cs="黑体"/>
          <w:b w:val="0"/>
          <w:bCs w:val="0"/>
          <w:kern w:val="2"/>
          <w:sz w:val="32"/>
          <w:szCs w:val="32"/>
          <w:lang w:val="en-US" w:eastAsia="zh-CN" w:bidi="ar-SA"/>
        </w:rPr>
        <w:t>二、机构设置及决算单位构成</w:t>
      </w:r>
    </w:p>
    <w:p>
      <w:pPr>
        <w:widowControl/>
        <w:spacing w:line="780" w:lineRule="exact"/>
        <w:ind w:firstLine="640" w:firstLineChars="200"/>
        <w:rPr>
          <w:rFonts w:hint="eastAsia" w:ascii="仿宋_GB2312" w:hAnsi="仿宋" w:eastAsia="仿宋_GB2312" w:cs="仿宋_GB2312"/>
          <w:color w:val="000000"/>
          <w:kern w:val="0"/>
          <w:sz w:val="32"/>
          <w:szCs w:val="32"/>
        </w:rPr>
      </w:pPr>
      <w:r>
        <w:rPr>
          <w:rFonts w:hint="eastAsia" w:ascii="楷体_GB2312" w:hAnsi="楷体_GB2312" w:eastAsia="楷体_GB2312" w:cs="楷体_GB2312"/>
          <w:b/>
          <w:bCs w:val="0"/>
          <w:kern w:val="0"/>
          <w:sz w:val="32"/>
          <w:szCs w:val="32"/>
        </w:rPr>
        <w:t>（一）内设机构设置。</w:t>
      </w:r>
      <w:r>
        <w:rPr>
          <w:rFonts w:hint="eastAsia" w:ascii="仿宋_GB2312" w:hAnsi="仿宋" w:eastAsia="仿宋_GB2312" w:cs="仿宋_GB2312"/>
          <w:color w:val="000000"/>
          <w:kern w:val="0"/>
          <w:sz w:val="32"/>
          <w:szCs w:val="32"/>
        </w:rPr>
        <w:t>湖南永州国家农业科技园区管理委员会内设机构包括：党政办公室</w:t>
      </w:r>
      <w:r>
        <w:rPr>
          <w:rFonts w:hint="eastAsia" w:ascii="仿宋_GB2312" w:hAnsi="仿宋" w:eastAsia="仿宋_GB2312" w:cs="仿宋_GB2312"/>
          <w:color w:val="000000"/>
          <w:kern w:val="0"/>
          <w:sz w:val="32"/>
          <w:szCs w:val="32"/>
          <w:lang w:val="en-US" w:eastAsia="zh-CN"/>
        </w:rPr>
        <w:t>5人</w:t>
      </w:r>
      <w:r>
        <w:rPr>
          <w:rFonts w:hint="eastAsia" w:ascii="仿宋_GB2312" w:hAnsi="仿宋" w:eastAsia="仿宋_GB2312" w:cs="仿宋_GB2312"/>
          <w:color w:val="000000"/>
          <w:kern w:val="0"/>
          <w:sz w:val="32"/>
          <w:szCs w:val="32"/>
        </w:rPr>
        <w:t>（加挂审计局牌子）、农业科技局</w:t>
      </w:r>
      <w:r>
        <w:rPr>
          <w:rFonts w:hint="eastAsia" w:ascii="仿宋_GB2312" w:hAnsi="仿宋" w:eastAsia="仿宋_GB2312" w:cs="仿宋_GB2312"/>
          <w:color w:val="000000"/>
          <w:kern w:val="0"/>
          <w:sz w:val="32"/>
          <w:szCs w:val="32"/>
          <w:lang w:val="en-US" w:eastAsia="zh-CN"/>
        </w:rPr>
        <w:t>7人</w:t>
      </w:r>
      <w:r>
        <w:rPr>
          <w:rFonts w:hint="eastAsia" w:ascii="仿宋_GB2312" w:hAnsi="仿宋" w:eastAsia="仿宋_GB2312" w:cs="仿宋_GB2312"/>
          <w:color w:val="000000"/>
          <w:kern w:val="0"/>
          <w:sz w:val="32"/>
          <w:szCs w:val="32"/>
        </w:rPr>
        <w:t>（加挂林业局、水利局牌子）、招商合作局</w:t>
      </w:r>
      <w:r>
        <w:rPr>
          <w:rFonts w:hint="eastAsia" w:ascii="仿宋_GB2312" w:hAnsi="仿宋" w:eastAsia="仿宋_GB2312" w:cs="仿宋_GB2312"/>
          <w:color w:val="000000"/>
          <w:kern w:val="0"/>
          <w:sz w:val="32"/>
          <w:szCs w:val="32"/>
          <w:lang w:val="en-US" w:eastAsia="zh-CN"/>
        </w:rPr>
        <w:t>2人</w:t>
      </w:r>
      <w:r>
        <w:rPr>
          <w:rFonts w:hint="eastAsia" w:ascii="仿宋_GB2312" w:hAnsi="仿宋" w:eastAsia="仿宋_GB2312" w:cs="仿宋_GB2312"/>
          <w:color w:val="000000"/>
          <w:kern w:val="0"/>
          <w:sz w:val="32"/>
          <w:szCs w:val="32"/>
        </w:rPr>
        <w:t>、经济发展局</w:t>
      </w:r>
      <w:r>
        <w:rPr>
          <w:rFonts w:hint="eastAsia" w:ascii="仿宋_GB2312" w:hAnsi="仿宋" w:eastAsia="仿宋_GB2312" w:cs="仿宋_GB2312"/>
          <w:color w:val="000000"/>
          <w:kern w:val="0"/>
          <w:sz w:val="32"/>
          <w:szCs w:val="32"/>
          <w:lang w:val="en-US" w:eastAsia="zh-CN"/>
        </w:rPr>
        <w:t>3人</w:t>
      </w:r>
      <w:r>
        <w:rPr>
          <w:rFonts w:hint="eastAsia" w:ascii="仿宋_GB2312" w:hAnsi="仿宋" w:eastAsia="仿宋_GB2312" w:cs="仿宋_GB2312"/>
          <w:color w:val="000000"/>
          <w:kern w:val="0"/>
          <w:sz w:val="32"/>
          <w:szCs w:val="32"/>
        </w:rPr>
        <w:t>（加挂安全生产监督管理局牌子）、规划建设局</w:t>
      </w:r>
      <w:r>
        <w:rPr>
          <w:rFonts w:hint="eastAsia" w:ascii="仿宋_GB2312" w:hAnsi="仿宋" w:eastAsia="仿宋_GB2312" w:cs="仿宋_GB2312"/>
          <w:color w:val="000000"/>
          <w:kern w:val="0"/>
          <w:sz w:val="32"/>
          <w:szCs w:val="32"/>
          <w:lang w:val="en-US" w:eastAsia="zh-CN"/>
        </w:rPr>
        <w:t>2人</w:t>
      </w:r>
      <w:r>
        <w:rPr>
          <w:rFonts w:hint="eastAsia" w:ascii="仿宋_GB2312" w:hAnsi="仿宋" w:eastAsia="仿宋_GB2312" w:cs="仿宋_GB2312"/>
          <w:color w:val="000000"/>
          <w:kern w:val="0"/>
          <w:sz w:val="32"/>
          <w:szCs w:val="32"/>
        </w:rPr>
        <w:t>（加挂交通局牌子）、财政局</w:t>
      </w:r>
      <w:r>
        <w:rPr>
          <w:rFonts w:hint="eastAsia" w:ascii="仿宋_GB2312" w:hAnsi="仿宋" w:eastAsia="仿宋_GB2312" w:cs="仿宋_GB2312"/>
          <w:color w:val="000000"/>
          <w:kern w:val="0"/>
          <w:sz w:val="32"/>
          <w:szCs w:val="32"/>
          <w:lang w:val="en-US" w:eastAsia="zh-CN"/>
        </w:rPr>
        <w:t>3人</w:t>
      </w:r>
      <w:r>
        <w:rPr>
          <w:rFonts w:hint="eastAsia" w:ascii="仿宋_GB2312" w:hAnsi="仿宋" w:eastAsia="仿宋_GB2312" w:cs="仿宋_GB2312"/>
          <w:color w:val="000000"/>
          <w:kern w:val="0"/>
          <w:sz w:val="32"/>
          <w:szCs w:val="32"/>
        </w:rPr>
        <w:t>、组织人社局</w:t>
      </w:r>
      <w:r>
        <w:rPr>
          <w:rFonts w:hint="eastAsia" w:ascii="仿宋_GB2312" w:hAnsi="仿宋" w:eastAsia="仿宋_GB2312" w:cs="仿宋_GB2312"/>
          <w:color w:val="000000"/>
          <w:kern w:val="0"/>
          <w:sz w:val="32"/>
          <w:szCs w:val="32"/>
          <w:lang w:val="en-US" w:eastAsia="zh-CN"/>
        </w:rPr>
        <w:t>4人</w:t>
      </w:r>
      <w:r>
        <w:rPr>
          <w:rFonts w:hint="eastAsia" w:ascii="仿宋_GB2312" w:hAnsi="仿宋" w:eastAsia="仿宋_GB2312" w:cs="仿宋_GB2312"/>
          <w:color w:val="000000"/>
          <w:kern w:val="0"/>
          <w:sz w:val="32"/>
          <w:szCs w:val="32"/>
        </w:rPr>
        <w:t>（加挂宣传统战部牌子）、纪检监察室</w:t>
      </w:r>
      <w:r>
        <w:rPr>
          <w:rFonts w:hint="eastAsia" w:ascii="仿宋_GB2312" w:hAnsi="仿宋" w:eastAsia="仿宋_GB2312" w:cs="仿宋_GB2312"/>
          <w:color w:val="000000"/>
          <w:kern w:val="0"/>
          <w:sz w:val="32"/>
          <w:szCs w:val="32"/>
          <w:lang w:val="en-US" w:eastAsia="zh-CN"/>
        </w:rPr>
        <w:t>2人</w:t>
      </w:r>
      <w:r>
        <w:rPr>
          <w:rFonts w:hint="eastAsia" w:ascii="仿宋_GB2312" w:hAnsi="仿宋" w:eastAsia="仿宋_GB2312" w:cs="仿宋_GB2312"/>
          <w:color w:val="000000"/>
          <w:kern w:val="0"/>
          <w:sz w:val="32"/>
          <w:szCs w:val="32"/>
        </w:rPr>
        <w:t>等8个工作机构。</w:t>
      </w:r>
    </w:p>
    <w:p>
      <w:pPr>
        <w:widowControl/>
        <w:numPr>
          <w:ilvl w:val="0"/>
          <w:numId w:val="0"/>
        </w:numPr>
        <w:spacing w:line="600" w:lineRule="exact"/>
        <w:ind w:firstLine="640" w:firstLineChars="200"/>
        <w:rPr>
          <w:rFonts w:ascii="仿宋_GB2312" w:hAnsi="仿宋" w:eastAsia="仿宋_GB2312" w:cs="仿宋_GB2312"/>
          <w:color w:val="000000"/>
          <w:kern w:val="0"/>
          <w:sz w:val="32"/>
          <w:szCs w:val="32"/>
        </w:rPr>
      </w:pPr>
      <w:r>
        <w:rPr>
          <w:rFonts w:hint="eastAsia" w:ascii="楷体_GB2312" w:hAnsi="楷体_GB2312" w:eastAsia="楷体_GB2312" w:cs="楷体_GB2312"/>
          <w:b/>
          <w:bCs w:val="0"/>
          <w:kern w:val="0"/>
          <w:sz w:val="32"/>
          <w:szCs w:val="32"/>
        </w:rPr>
        <w:t>（二）决算单位构成。</w:t>
      </w:r>
      <w:r>
        <w:rPr>
          <w:rFonts w:hint="eastAsia" w:ascii="仿宋_GB2312" w:hAnsi="仿宋" w:eastAsia="仿宋_GB2312" w:cs="仿宋_GB2312"/>
          <w:color w:val="000000"/>
          <w:kern w:val="0"/>
          <w:sz w:val="32"/>
          <w:szCs w:val="32"/>
        </w:rPr>
        <w:t>湖南永州国家农业科技园区管理委员会</w:t>
      </w:r>
      <w:r>
        <w:rPr>
          <w:rFonts w:ascii="仿宋_GB2312" w:hAnsi="仿宋" w:eastAsia="仿宋_GB2312" w:cs="仿宋_GB2312"/>
          <w:color w:val="000000"/>
          <w:kern w:val="0"/>
          <w:sz w:val="32"/>
          <w:szCs w:val="32"/>
        </w:rPr>
        <w:t>20</w:t>
      </w:r>
      <w:r>
        <w:rPr>
          <w:rFonts w:hint="eastAsia" w:ascii="仿宋_GB2312" w:hAnsi="仿宋" w:eastAsia="仿宋_GB2312" w:cs="仿宋_GB2312"/>
          <w:color w:val="000000"/>
          <w:kern w:val="0"/>
          <w:sz w:val="32"/>
          <w:szCs w:val="32"/>
        </w:rPr>
        <w:t>2</w:t>
      </w:r>
      <w:r>
        <w:rPr>
          <w:rFonts w:hint="eastAsia" w:ascii="仿宋_GB2312" w:hAnsi="仿宋" w:eastAsia="仿宋_GB2312" w:cs="仿宋_GB2312"/>
          <w:color w:val="000000"/>
          <w:kern w:val="0"/>
          <w:sz w:val="32"/>
          <w:szCs w:val="32"/>
          <w:lang w:val="en-US" w:eastAsia="zh-CN"/>
        </w:rPr>
        <w:t>2</w:t>
      </w:r>
      <w:r>
        <w:rPr>
          <w:rFonts w:hint="eastAsia" w:ascii="仿宋_GB2312" w:hAnsi="仿宋" w:eastAsia="仿宋_GB2312" w:cs="仿宋_GB2312"/>
          <w:color w:val="000000"/>
          <w:kern w:val="0"/>
          <w:sz w:val="32"/>
          <w:szCs w:val="32"/>
        </w:rPr>
        <w:t>年部门决算汇总公开单位构成包括：湖南永州国家农业科技园区管理委员会本级，无其他二级预算单位。</w:t>
      </w:r>
    </w:p>
    <w:p>
      <w:pPr>
        <w:widowControl/>
        <w:spacing w:line="600" w:lineRule="exact"/>
        <w:ind w:firstLine="960" w:firstLineChars="300"/>
        <w:rPr>
          <w:rFonts w:hint="eastAsia" w:ascii="Times New Roman" w:hAnsi="Times New Roman" w:eastAsia="仿宋_GB2312" w:cs="黑体"/>
          <w:color w:val="000000"/>
          <w:kern w:val="0"/>
          <w:sz w:val="32"/>
          <w:szCs w:val="32"/>
          <w:lang w:val="en-US" w:eastAsia="zh-CN" w:bidi="ar-SA"/>
        </w:rPr>
      </w:pPr>
    </w:p>
    <w:p>
      <w:pPr>
        <w:jc w:val="left"/>
        <w:rPr>
          <w:rFonts w:ascii="仿宋_GB2312" w:eastAsia="仿宋_GB2312" w:hAnsiTheme="minorEastAsia"/>
          <w:sz w:val="28"/>
          <w:szCs w:val="32"/>
        </w:rPr>
      </w:pP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center"/>
        <w:rPr>
          <w:sz w:val="72"/>
          <w:szCs w:val="72"/>
        </w:rPr>
      </w:pP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rFonts w:hint="eastAsia" w:ascii="楷体_GB2312" w:hAnsi="楷体_GB2312" w:eastAsia="楷体_GB2312" w:cs="楷体_GB2312"/>
          <w:b/>
          <w:bCs/>
          <w:color w:val="000000"/>
          <w:kern w:val="0"/>
          <w:sz w:val="52"/>
          <w:szCs w:val="52"/>
          <w:lang w:val="en-US" w:eastAsia="zh-CN" w:bidi="ar-SA"/>
        </w:rPr>
      </w:pPr>
      <w:r>
        <w:rPr>
          <w:rFonts w:hint="eastAsia" w:ascii="楷体_GB2312" w:hAnsi="楷体_GB2312" w:eastAsia="楷体_GB2312" w:cs="楷体_GB2312"/>
          <w:b/>
          <w:bCs/>
          <w:color w:val="000000"/>
          <w:kern w:val="0"/>
          <w:sz w:val="52"/>
          <w:szCs w:val="52"/>
          <w:lang w:val="en-US" w:eastAsia="zh-CN" w:bidi="ar-SA"/>
        </w:rPr>
        <w:t>（详见附表）</w:t>
      </w:r>
    </w:p>
    <w:p>
      <w:pPr>
        <w:pStyle w:val="10"/>
        <w:jc w:val="center"/>
        <w:rPr>
          <w:rFonts w:hint="eastAsia" w:ascii="方正小标宋_GBK" w:hAnsi="方正小标宋_GBK" w:eastAsia="方正小标宋_GBK" w:cs="方正小标宋_GBK"/>
          <w:sz w:val="84"/>
          <w:szCs w:val="84"/>
        </w:rPr>
      </w:pPr>
    </w:p>
    <w:p>
      <w:pPr>
        <w:jc w:val="center"/>
        <w:rPr>
          <w:sz w:val="72"/>
          <w:szCs w:val="72"/>
        </w:rPr>
      </w:pPr>
    </w:p>
    <w:p>
      <w:pPr>
        <w:jc w:val="center"/>
        <w:rPr>
          <w:rFonts w:hint="eastAsia" w:ascii="仿宋_GB2312" w:hAnsi="仿宋_GB2312" w:eastAsia="仿宋_GB2312" w:cs="仿宋_GB2312"/>
          <w:b/>
          <w:bCs/>
          <w:color w:val="FF0000"/>
          <w:kern w:val="0"/>
          <w:sz w:val="32"/>
          <w:szCs w:val="32"/>
          <w:lang w:val="en-US" w:eastAsia="zh-CN" w:bidi="ar-SA"/>
        </w:rPr>
      </w:pPr>
    </w:p>
    <w:p>
      <w:pPr>
        <w:pStyle w:val="10"/>
        <w:jc w:val="both"/>
        <w:rPr>
          <w:rFonts w:hint="eastAsia" w:ascii="方正小标宋_GBK" w:hAnsi="方正小标宋_GBK" w:eastAsia="方正小标宋_GBK" w:cs="方正小标宋_GBK"/>
          <w:sz w:val="72"/>
          <w:szCs w:val="72"/>
        </w:rPr>
      </w:pPr>
    </w:p>
    <w:p>
      <w:pPr>
        <w:pStyle w:val="10"/>
        <w:jc w:val="both"/>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bookmarkStart w:id="0" w:name="_GoBack"/>
      <w:bookmarkEnd w:id="0"/>
      <w:r>
        <w:rPr>
          <w:rFonts w:hint="eastAsia" w:ascii="方正小标宋_GBK" w:hAnsi="方正小标宋_GBK" w:eastAsia="方正小标宋_GBK" w:cs="方正小标宋_GBK"/>
          <w:sz w:val="72"/>
          <w:szCs w:val="72"/>
        </w:rPr>
        <w:t>第三部分</w:t>
      </w:r>
    </w:p>
    <w:p>
      <w:pPr>
        <w:pStyle w:val="10"/>
        <w:jc w:val="center"/>
        <w:rPr>
          <w:rFonts w:hint="eastAsia" w:ascii="方正小标宋_GBK" w:hAnsi="方正小标宋_GBK" w:eastAsia="方正小标宋_GBK" w:cs="方正小标宋_GBK"/>
          <w:sz w:val="70"/>
          <w:szCs w:val="70"/>
        </w:rPr>
      </w:pPr>
    </w:p>
    <w:p>
      <w:pPr>
        <w:pStyle w:val="10"/>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2</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w:t>
      </w:r>
      <w:r>
        <w:rPr>
          <w:rFonts w:hint="eastAsia" w:ascii="Times New Roman" w:hAnsi="Times New Roman" w:eastAsia="仿宋_GB2312"/>
          <w:sz w:val="32"/>
          <w:szCs w:val="32"/>
          <w:lang w:eastAsia="zh-CN"/>
        </w:rPr>
        <w:t>入</w:t>
      </w:r>
      <w:r>
        <w:rPr>
          <w:rFonts w:hint="eastAsia" w:ascii="Times New Roman" w:hAnsi="Times New Roman" w:eastAsia="仿宋_GB2312"/>
          <w:sz w:val="32"/>
          <w:szCs w:val="32"/>
        </w:rPr>
        <w:t>总计792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461.96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139.90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基础绩效奖和考核奖金纳入预算。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w:t>
      </w:r>
      <w:r>
        <w:rPr>
          <w:rFonts w:hint="eastAsia" w:ascii="Times New Roman" w:hAnsi="Times New Roman" w:eastAsia="仿宋_GB2312"/>
          <w:sz w:val="32"/>
          <w:szCs w:val="32"/>
          <w:lang w:eastAsia="zh-CN"/>
        </w:rPr>
        <w:t>支出</w:t>
      </w:r>
      <w:r>
        <w:rPr>
          <w:rFonts w:hint="eastAsia" w:ascii="Times New Roman" w:hAnsi="Times New Roman" w:eastAsia="仿宋_GB2312"/>
          <w:sz w:val="32"/>
          <w:szCs w:val="32"/>
        </w:rPr>
        <w:t>总计792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461.96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139.90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基础绩效奖和考核奖金纳入预算。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年度收入合计792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万元，其中：财政拨款收入792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年度支出合计792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万元，其中：基本支出532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67.18</w:t>
      </w:r>
      <w:r>
        <w:rPr>
          <w:rFonts w:hint="eastAsia" w:ascii="Times New Roman" w:hAnsi="Times New Roman" w:eastAsia="仿宋_GB2312"/>
          <w:sz w:val="32"/>
          <w:szCs w:val="32"/>
        </w:rPr>
        <w:t>%；项目支出260万元，占</w:t>
      </w:r>
      <w:r>
        <w:rPr>
          <w:rFonts w:hint="eastAsia" w:ascii="Times New Roman" w:hAnsi="Times New Roman" w:eastAsia="仿宋_GB2312"/>
          <w:sz w:val="32"/>
          <w:szCs w:val="32"/>
          <w:lang w:val="en-US" w:eastAsia="zh-CN"/>
        </w:rPr>
        <w:t>32.82</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年度财政拨款收</w:t>
      </w:r>
      <w:r>
        <w:rPr>
          <w:rFonts w:hint="eastAsia" w:ascii="Times New Roman" w:hAnsi="Times New Roman" w:eastAsia="仿宋_GB2312"/>
          <w:sz w:val="32"/>
          <w:szCs w:val="32"/>
          <w:lang w:eastAsia="zh-CN"/>
        </w:rPr>
        <w:t>入</w:t>
      </w:r>
      <w:r>
        <w:rPr>
          <w:rFonts w:hint="eastAsia" w:ascii="Times New Roman" w:hAnsi="Times New Roman" w:eastAsia="仿宋_GB2312"/>
          <w:sz w:val="32"/>
          <w:szCs w:val="32"/>
        </w:rPr>
        <w:t>总计792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461.96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139.90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基础绩效奖和考核奖金纳入预算。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w:t>
      </w:r>
      <w:r>
        <w:rPr>
          <w:rFonts w:hint="eastAsia" w:ascii="Times New Roman" w:hAnsi="Times New Roman" w:eastAsia="仿宋_GB2312"/>
          <w:sz w:val="32"/>
          <w:szCs w:val="32"/>
          <w:lang w:eastAsia="zh-CN"/>
        </w:rPr>
        <w:t>支出</w:t>
      </w:r>
      <w:r>
        <w:rPr>
          <w:rFonts w:hint="eastAsia" w:ascii="Times New Roman" w:hAnsi="Times New Roman" w:eastAsia="仿宋_GB2312"/>
          <w:sz w:val="32"/>
          <w:szCs w:val="32"/>
        </w:rPr>
        <w:t>总计792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461.96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139.90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基础绩效奖和考核奖金纳入预算。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（一）财政拨款支出决算总体情况</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461.96</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139.90</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基础绩效奖和考核奖金纳入预算。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（二）财政拨款支出决算结构情况</w:t>
      </w:r>
    </w:p>
    <w:p>
      <w:pPr>
        <w:pStyle w:val="10"/>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万元，主要用于以下方面：一般公共服</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务（类）支出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%；外交支出（类）0万元，占0%；国防支出（类）</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sz w:val="32"/>
          <w:szCs w:val="32"/>
        </w:rPr>
        <w:t>0万元，占0%；公共安全支出（类）0万元，占0.00%；教育支出（类）0万元，占0%；科学技术支出（类）</w:t>
      </w:r>
      <w:r>
        <w:rPr>
          <w:rFonts w:hint="eastAsia" w:ascii="Times New Roman" w:hAnsi="Times New Roman" w:eastAsia="仿宋_GB2312"/>
          <w:sz w:val="32"/>
          <w:szCs w:val="32"/>
          <w:lang w:val="en-US" w:eastAsia="zh-CN"/>
        </w:rPr>
        <w:t>200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25</w:t>
      </w:r>
      <w:r>
        <w:rPr>
          <w:rFonts w:hint="eastAsia" w:ascii="Times New Roman" w:hAnsi="Times New Roman" w:eastAsia="仿宋_GB2312"/>
          <w:sz w:val="32"/>
          <w:szCs w:val="32"/>
        </w:rPr>
        <w:t>%；文化旅游体育与传媒支出（类）0万元，占0.00%；社会保障和就业支出（类）</w:t>
      </w:r>
      <w:r>
        <w:rPr>
          <w:rFonts w:hint="eastAsia" w:ascii="Times New Roman" w:hAnsi="Times New Roman" w:eastAsia="仿宋_GB2312"/>
          <w:sz w:val="32"/>
          <w:szCs w:val="32"/>
          <w:lang w:val="en-US" w:eastAsia="zh-CN"/>
        </w:rPr>
        <w:t>35.96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4.54</w:t>
      </w:r>
      <w:r>
        <w:rPr>
          <w:rFonts w:hint="eastAsia" w:ascii="Times New Roman" w:hAnsi="Times New Roman" w:eastAsia="仿宋_GB2312"/>
          <w:sz w:val="32"/>
          <w:szCs w:val="32"/>
        </w:rPr>
        <w:t>%；卫生健康支出（类）</w:t>
      </w:r>
      <w:r>
        <w:rPr>
          <w:rFonts w:hint="eastAsia" w:ascii="Times New Roman" w:hAnsi="Times New Roman" w:eastAsia="仿宋_GB2312"/>
          <w:sz w:val="32"/>
          <w:szCs w:val="32"/>
          <w:lang w:val="en-US" w:eastAsia="zh-CN"/>
        </w:rPr>
        <w:t>19.55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2.47</w:t>
      </w:r>
      <w:r>
        <w:rPr>
          <w:rFonts w:hint="eastAsia" w:ascii="Times New Roman" w:hAnsi="Times New Roman" w:eastAsia="仿宋_GB2312"/>
          <w:sz w:val="32"/>
          <w:szCs w:val="32"/>
        </w:rPr>
        <w:t>%；节能环保支出（类）0万元，占0%；城乡社区支出（类）0万元，占0%；农林水支出（类）</w:t>
      </w:r>
      <w:r>
        <w:rPr>
          <w:rFonts w:hint="eastAsia" w:ascii="Times New Roman" w:hAnsi="Times New Roman" w:eastAsia="仿宋_GB2312"/>
          <w:sz w:val="32"/>
          <w:szCs w:val="32"/>
          <w:lang w:val="en-US" w:eastAsia="zh-CN"/>
        </w:rPr>
        <w:t>509.74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64.35</w:t>
      </w:r>
      <w:r>
        <w:rPr>
          <w:rFonts w:hint="eastAsia" w:ascii="Times New Roman" w:hAnsi="Times New Roman" w:eastAsia="仿宋_GB2312"/>
          <w:sz w:val="32"/>
          <w:szCs w:val="32"/>
        </w:rPr>
        <w:t>%；交通运输支出（类）0万元，占0%；资源勘探工业信息等支出（类）0万元，占0.00%；商业服务业等支出（类）0万元，占0%；金融支出（类）0万元，占0.00%；援助其他地区支出（类）0万元，占0.00%；自然资源海洋气象等支出（类）0万元，占0%；住房保障支出（类）</w:t>
      </w:r>
      <w:r>
        <w:rPr>
          <w:rFonts w:hint="eastAsia" w:ascii="Times New Roman" w:hAnsi="Times New Roman" w:eastAsia="仿宋_GB2312"/>
          <w:sz w:val="32"/>
          <w:szCs w:val="32"/>
          <w:lang w:val="en-US" w:eastAsia="zh-CN"/>
        </w:rPr>
        <w:t>26.94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3.4</w:t>
      </w:r>
      <w:r>
        <w:rPr>
          <w:rFonts w:hint="eastAsia" w:ascii="Times New Roman" w:hAnsi="Times New Roman" w:eastAsia="仿宋_GB2312"/>
          <w:sz w:val="32"/>
          <w:szCs w:val="32"/>
        </w:rPr>
        <w:t>%；粮油物资储备支出（类）0万元，占0%；国有资本经营预算支出（类）0万元，占0.00%；灾害防治及应急管理支出（类）0万元，占0.00%；其他支出(类)0万元，占0.00%；债务还本支出（类）0万元，占0.00%；债务付息支出（类）0万元，占0.00%；抗疫特别国债安排的支出（类）0万元，占0.00%。</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_GB2312" w:hAnsi="楷体_GB2312" w:eastAsia="楷体_GB2312" w:cs="楷体_GB2312"/>
          <w:b/>
          <w:bCs w:val="0"/>
          <w:sz w:val="32"/>
          <w:szCs w:val="32"/>
        </w:rPr>
      </w:pPr>
      <w:r>
        <w:rPr>
          <w:rFonts w:hint="eastAsia" w:ascii="楷体_GB2312" w:hAnsi="楷体_GB2312" w:eastAsia="楷体_GB2312" w:cs="楷体_GB2312"/>
          <w:b/>
          <w:bCs w:val="0"/>
          <w:sz w:val="32"/>
          <w:szCs w:val="32"/>
        </w:rPr>
        <w:t>（三）财政拨款支出决算具体情况</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年度财政拨款支出年初预算数为462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7</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万元，支出决算数为792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171.19</w:t>
      </w:r>
      <w:r>
        <w:rPr>
          <w:rFonts w:hint="eastAsia" w:ascii="Times New Roman" w:hAnsi="Times New Roman" w:eastAsia="仿宋_GB2312"/>
          <w:sz w:val="32"/>
          <w:szCs w:val="32"/>
        </w:rPr>
        <w:t>%，其中：</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eastAsia="zh-CN"/>
        </w:rPr>
        <w:t>科学技术支出（类）科技条件与服务（款）其他科技条件与服务支出</w:t>
      </w:r>
      <w:r>
        <w:rPr>
          <w:rFonts w:hint="eastAsia" w:ascii="Times New Roman" w:hAnsi="Times New Roman" w:eastAsia="仿宋_GB2312"/>
          <w:sz w:val="32"/>
          <w:szCs w:val="32"/>
        </w:rPr>
        <w:t>（项）。</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200</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color w:val="auto"/>
          <w:sz w:val="32"/>
          <w:szCs w:val="32"/>
          <w:lang w:eastAsia="zh-CN"/>
        </w:rPr>
        <w:t>园区争取</w:t>
      </w:r>
      <w:r>
        <w:rPr>
          <w:rFonts w:hint="eastAsia" w:ascii="Times New Roman" w:hAnsi="Times New Roman" w:eastAsia="仿宋_GB2312"/>
          <w:color w:val="auto"/>
          <w:sz w:val="32"/>
          <w:szCs w:val="32"/>
          <w:lang w:val="en-US" w:eastAsia="zh-CN"/>
        </w:rPr>
        <w:t>2022年中央引导地方科技发展资金。</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、社会保障和就业支出</w:t>
      </w:r>
      <w:r>
        <w:rPr>
          <w:rFonts w:hint="eastAsia" w:ascii="Times New Roman" w:hAnsi="Times New Roman" w:eastAsia="仿宋_GB2312"/>
          <w:sz w:val="32"/>
          <w:szCs w:val="32"/>
          <w:lang w:eastAsia="zh-CN"/>
        </w:rPr>
        <w:t>（类）行政事业单位养老支出</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机关事业单位基本养老保险缴费支出（项）。</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35.50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35.96</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101.3</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2022年养老保险基数上调。</w:t>
      </w:r>
    </w:p>
    <w:p>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lang w:eastAsia="zh-CN"/>
        </w:rPr>
        <w:t>卫生健康支出（类）行政事业单位医疗（</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）行政单位医疗和事业单位医疗</w:t>
      </w:r>
      <w:r>
        <w:rPr>
          <w:rFonts w:hint="eastAsia" w:ascii="Times New Roman" w:hAnsi="Times New Roman" w:eastAsia="仿宋_GB2312"/>
          <w:sz w:val="32"/>
          <w:szCs w:val="32"/>
        </w:rPr>
        <w:t>（项）。</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19.31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19.55</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101.3</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 xml:space="preserve">2022年医疗保险基数上调。                                     </w:t>
      </w:r>
    </w:p>
    <w:p>
      <w:pPr>
        <w:pStyle w:val="10"/>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eastAsia="zh-CN"/>
        </w:rPr>
        <w:t>农林水支出类农业农村（款）行政运行和其他农业农村支出（项）。</w:t>
      </w:r>
    </w:p>
    <w:p>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381.33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509.74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133.67</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eastAsia="zh-CN"/>
        </w:rPr>
        <w:t>农林水专项资金增加</w:t>
      </w:r>
      <w:r>
        <w:rPr>
          <w:rFonts w:hint="eastAsia" w:ascii="Times New Roman" w:hAnsi="Times New Roman" w:eastAsia="仿宋_GB2312"/>
          <w:sz w:val="32"/>
          <w:szCs w:val="32"/>
          <w:lang w:val="en-US" w:eastAsia="zh-CN"/>
        </w:rPr>
        <w:t>。</w:t>
      </w:r>
    </w:p>
    <w:p>
      <w:pPr>
        <w:pStyle w:val="10"/>
        <w:keepNext w:val="0"/>
        <w:keepLines w:val="0"/>
        <w:pageBreakBefore w:val="0"/>
        <w:widowControl w:val="0"/>
        <w:numPr>
          <w:ilvl w:val="0"/>
          <w:numId w:val="2"/>
        </w:numPr>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lang w:eastAsia="zh-CN"/>
        </w:rPr>
        <w:t>住房保障支出（类）住房改革支出（</w:t>
      </w:r>
      <w:r>
        <w:rPr>
          <w:rFonts w:hint="eastAsia" w:ascii="Times New Roman" w:hAnsi="Times New Roman" w:eastAsia="仿宋_GB2312"/>
          <w:sz w:val="32"/>
          <w:szCs w:val="32"/>
        </w:rPr>
        <w:t>款</w:t>
      </w:r>
      <w:r>
        <w:rPr>
          <w:rFonts w:hint="eastAsia" w:ascii="Times New Roman" w:hAnsi="Times New Roman" w:eastAsia="仿宋_GB2312"/>
          <w:sz w:val="32"/>
          <w:szCs w:val="32"/>
          <w:lang w:eastAsia="zh-CN"/>
        </w:rPr>
        <w:t>）住房公积金</w:t>
      </w:r>
      <w:r>
        <w:rPr>
          <w:rFonts w:hint="eastAsia" w:ascii="Times New Roman" w:hAnsi="Times New Roman" w:eastAsia="仿宋_GB2312"/>
          <w:sz w:val="32"/>
          <w:szCs w:val="32"/>
        </w:rPr>
        <w:t>（项）。</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26.63</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26.94</w:t>
      </w:r>
      <w:r>
        <w:rPr>
          <w:rFonts w:hint="eastAsia" w:ascii="Times New Roman" w:hAnsi="Times New Roman" w:eastAsia="仿宋_GB2312"/>
          <w:sz w:val="32"/>
          <w:szCs w:val="32"/>
        </w:rPr>
        <w:t>万元，完成年初预算</w:t>
      </w:r>
      <w:r>
        <w:rPr>
          <w:rFonts w:hint="eastAsia" w:ascii="Times New Roman" w:hAnsi="Times New Roman" w:eastAsia="仿宋_GB2312"/>
          <w:sz w:val="32"/>
          <w:szCs w:val="32"/>
          <w:lang w:val="en-US" w:eastAsia="zh-CN"/>
        </w:rPr>
        <w:t>101.16</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2022年公积金基数上调。</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年度财政拨款基本支出532</w:t>
      </w:r>
      <w:r>
        <w:rPr>
          <w:rFonts w:hint="eastAsia" w:ascii="Times New Roman" w:hAnsi="Times New Roman" w:eastAsia="仿宋_GB2312"/>
          <w:sz w:val="32"/>
          <w:szCs w:val="32"/>
          <w:lang w:val="en-US" w:eastAsia="zh-CN"/>
        </w:rPr>
        <w:t>.</w:t>
      </w: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9</w:t>
      </w:r>
      <w:r>
        <w:rPr>
          <w:rFonts w:hint="eastAsia" w:ascii="Times New Roman" w:hAnsi="Times New Roman" w:eastAsia="仿宋_GB2312"/>
          <w:sz w:val="32"/>
          <w:szCs w:val="32"/>
        </w:rPr>
        <w:t>万元，其中：</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rPr>
        <w:t>481</w:t>
      </w:r>
      <w:r>
        <w:rPr>
          <w:rFonts w:hint="eastAsia" w:ascii="Times New Roman" w:hAnsi="Times New Roman" w:eastAsia="仿宋_GB2312"/>
          <w:sz w:val="32"/>
          <w:szCs w:val="32"/>
          <w:lang w:val="en-US" w:eastAsia="zh-CN"/>
        </w:rPr>
        <w:t>.01</w:t>
      </w:r>
      <w:r>
        <w:rPr>
          <w:rFonts w:hint="eastAsia" w:ascii="Times New Roman" w:hAnsi="Times New Roman" w:eastAsia="仿宋_GB2312"/>
          <w:sz w:val="32"/>
          <w:szCs w:val="32"/>
        </w:rPr>
        <w:t>万元，占基本支出的</w:t>
      </w:r>
      <w:r>
        <w:rPr>
          <w:rFonts w:hint="eastAsia" w:ascii="Times New Roman" w:hAnsi="Times New Roman" w:eastAsia="仿宋_GB2312"/>
          <w:b w:val="0"/>
          <w:bCs w:val="0"/>
          <w:sz w:val="32"/>
          <w:szCs w:val="32"/>
          <w:lang w:val="en-US" w:eastAsia="zh-CN"/>
        </w:rPr>
        <w:t>90.38</w:t>
      </w:r>
      <w:r>
        <w:rPr>
          <w:rFonts w:hint="eastAsia" w:ascii="Times New Roman" w:hAnsi="Times New Roman" w:eastAsia="仿宋_GB2312"/>
          <w:b w:val="0"/>
          <w:bCs w:val="0"/>
          <w:sz w:val="32"/>
          <w:szCs w:val="32"/>
        </w:rPr>
        <w:t>%</w:t>
      </w:r>
      <w:r>
        <w:rPr>
          <w:rFonts w:hint="eastAsia" w:ascii="Times New Roman" w:hAnsi="Times New Roman" w:eastAsia="仿宋_GB2312"/>
          <w:sz w:val="32"/>
          <w:szCs w:val="32"/>
        </w:rPr>
        <w:t>,主要包括基本工资、津贴补贴、奖金、伙食补助费</w:t>
      </w:r>
      <w:r>
        <w:rPr>
          <w:rFonts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bCs/>
          <w:color w:val="FF0000"/>
          <w:sz w:val="32"/>
          <w:szCs w:val="32"/>
          <w:lang w:val="en-US"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rPr>
        <w:t>51</w:t>
      </w:r>
      <w:r>
        <w:rPr>
          <w:rFonts w:hint="eastAsia" w:ascii="Times New Roman" w:hAnsi="Times New Roman" w:eastAsia="仿宋_GB2312"/>
          <w:sz w:val="32"/>
          <w:szCs w:val="32"/>
          <w:lang w:val="en-US" w:eastAsia="zh-CN"/>
        </w:rPr>
        <w:t>.18</w:t>
      </w:r>
      <w:r>
        <w:rPr>
          <w:rFonts w:hint="eastAsia" w:ascii="Times New Roman" w:hAnsi="Times New Roman" w:eastAsia="仿宋_GB2312"/>
          <w:sz w:val="32"/>
          <w:szCs w:val="32"/>
        </w:rPr>
        <w:t>万元，占基本支出的</w:t>
      </w:r>
      <w:r>
        <w:rPr>
          <w:rFonts w:hint="eastAsia" w:ascii="Times New Roman" w:hAnsi="Times New Roman" w:eastAsia="仿宋_GB2312"/>
          <w:b w:val="0"/>
          <w:bCs w:val="0"/>
          <w:sz w:val="32"/>
          <w:szCs w:val="32"/>
          <w:lang w:val="en-US" w:eastAsia="zh-CN"/>
        </w:rPr>
        <w:t>9.62</w:t>
      </w:r>
      <w:r>
        <w:rPr>
          <w:rFonts w:hint="eastAsia" w:ascii="Times New Roman" w:hAnsi="Times New Roman" w:eastAsia="仿宋_GB2312"/>
          <w:b w:val="0"/>
          <w:bCs w:val="0"/>
          <w:sz w:val="32"/>
          <w:szCs w:val="32"/>
        </w:rPr>
        <w:t>%</w:t>
      </w:r>
      <w:r>
        <w:rPr>
          <w:rFonts w:hint="eastAsia" w:ascii="Times New Roman" w:hAnsi="Times New Roman" w:eastAsia="仿宋_GB2312"/>
          <w:sz w:val="32"/>
          <w:szCs w:val="32"/>
        </w:rPr>
        <w:t>，主要包括办公费、印刷费、咨询费、手续费</w:t>
      </w:r>
      <w:r>
        <w:rPr>
          <w:rFonts w:ascii="Times New Roman" w:hAnsi="Times New Roman" w:eastAsia="仿宋_GB2312"/>
          <w:sz w:val="32"/>
          <w:szCs w:val="32"/>
        </w:rPr>
        <w:t>……</w:t>
      </w:r>
      <w:r>
        <w:rPr>
          <w:rFonts w:hint="eastAsia" w:ascii="Times New Roman" w:hAnsi="Times New Roman" w:eastAsia="仿宋_GB2312"/>
          <w:sz w:val="32"/>
          <w:szCs w:val="32"/>
        </w:rPr>
        <w:t>。</w:t>
      </w:r>
    </w:p>
    <w:p>
      <w:pPr>
        <w:pStyle w:val="10"/>
        <w:keepNext w:val="0"/>
        <w:keepLines w:val="0"/>
        <w:pageBreakBefore w:val="0"/>
        <w:widowControl w:val="0"/>
        <w:numPr>
          <w:ilvl w:val="0"/>
          <w:numId w:val="3"/>
        </w:numPr>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财政拨款三公经费支出决算情况说明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lang w:val="en-US" w:eastAsia="zh-CN"/>
        </w:rPr>
        <w:t>无因公出国（境）费用支出</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持平</w:t>
      </w:r>
      <w:r>
        <w:rPr>
          <w:rFonts w:hint="eastAsia" w:ascii="Times New Roman" w:hAnsi="Times New Roman" w:eastAsia="仿宋_GB2312"/>
          <w:sz w:val="32"/>
          <w:szCs w:val="32"/>
        </w:rPr>
        <w:t>的主要原因是</w:t>
      </w:r>
      <w:r>
        <w:rPr>
          <w:rFonts w:hint="eastAsia" w:ascii="Times New Roman" w:hAnsi="Times New Roman" w:eastAsia="仿宋_GB2312"/>
          <w:sz w:val="32"/>
          <w:szCs w:val="32"/>
          <w:lang w:eastAsia="zh-CN"/>
        </w:rPr>
        <w:t>本单位</w:t>
      </w:r>
      <w:r>
        <w:rPr>
          <w:rFonts w:hint="eastAsia" w:ascii="Times New Roman" w:hAnsi="Times New Roman" w:eastAsia="仿宋_GB2312"/>
          <w:sz w:val="32"/>
          <w:szCs w:val="32"/>
          <w:lang w:val="en-US" w:eastAsia="zh-CN"/>
        </w:rPr>
        <w:t>2021年度和2022年度均无因公出国（境）费用支出</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rPr>
      </w:pP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本单位严格控制预算不超过决算</w:t>
      </w:r>
      <w:r>
        <w:rPr>
          <w:rFonts w:hint="eastAsia" w:ascii="Times New Roman" w:hAnsi="Times New Roman" w:eastAsia="仿宋_GB2312"/>
          <w:sz w:val="32"/>
          <w:szCs w:val="32"/>
        </w:rPr>
        <w:t>，与上年相比增加</w:t>
      </w:r>
      <w:r>
        <w:rPr>
          <w:rFonts w:hint="eastAsia" w:ascii="Times New Roman" w:hAnsi="Times New Roman" w:eastAsia="仿宋_GB2312"/>
          <w:sz w:val="32"/>
          <w:szCs w:val="32"/>
          <w:lang w:val="en-US" w:eastAsia="zh-CN"/>
        </w:rPr>
        <w:t>3.24</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426.32</w:t>
      </w:r>
      <w:r>
        <w:rPr>
          <w:rFonts w:hint="eastAsia" w:ascii="Times New Roman" w:hAnsi="Times New Roman" w:eastAsia="仿宋_GB2312"/>
          <w:sz w:val="32"/>
          <w:szCs w:val="32"/>
        </w:rPr>
        <w:t>%,增长的主要原因是</w:t>
      </w:r>
      <w:r>
        <w:rPr>
          <w:rFonts w:hint="eastAsia" w:ascii="Times New Roman" w:hAnsi="Times New Roman" w:eastAsia="仿宋_GB2312"/>
          <w:sz w:val="32"/>
          <w:szCs w:val="32"/>
          <w:lang w:eastAsia="zh-CN"/>
        </w:rPr>
        <w:t>标准厂房已经建设好，在加大招商力度</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本单位没有公务用车购置费支出</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持平</w:t>
      </w:r>
      <w:r>
        <w:rPr>
          <w:rFonts w:hint="eastAsia" w:ascii="Times New Roman" w:hAnsi="Times New Roman" w:eastAsia="仿宋_GB2312"/>
          <w:sz w:val="32"/>
          <w:szCs w:val="32"/>
        </w:rPr>
        <w:t>的主要原因是</w:t>
      </w:r>
      <w:r>
        <w:rPr>
          <w:rFonts w:hint="eastAsia" w:ascii="Times New Roman" w:hAnsi="Times New Roman" w:eastAsia="仿宋_GB2312"/>
          <w:sz w:val="32"/>
          <w:szCs w:val="32"/>
          <w:lang w:val="en-US" w:eastAsia="zh-CN"/>
        </w:rPr>
        <w:t>2021年度和2022年度</w:t>
      </w:r>
      <w:r>
        <w:rPr>
          <w:rFonts w:hint="eastAsia" w:ascii="Times New Roman" w:hAnsi="Times New Roman" w:eastAsia="仿宋_GB2312"/>
          <w:sz w:val="32"/>
          <w:szCs w:val="32"/>
          <w:lang w:eastAsia="zh-CN"/>
        </w:rPr>
        <w:t>本单位均无公务用车购置费支出</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%，决算数</w:t>
      </w:r>
      <w:r>
        <w:rPr>
          <w:rFonts w:hint="eastAsia" w:ascii="Times New Roman" w:hAnsi="Times New Roman" w:eastAsia="仿宋_GB2312"/>
          <w:sz w:val="32"/>
          <w:szCs w:val="32"/>
          <w:lang w:eastAsia="zh-CN"/>
        </w:rPr>
        <w:t>等于</w:t>
      </w:r>
      <w:r>
        <w:rPr>
          <w:rFonts w:hint="eastAsia" w:ascii="Times New Roman" w:hAnsi="Times New Roman" w:eastAsia="仿宋_GB2312"/>
          <w:sz w:val="32"/>
          <w:szCs w:val="32"/>
        </w:rPr>
        <w:t>预算数的主要原因是</w:t>
      </w:r>
      <w:r>
        <w:rPr>
          <w:rFonts w:hint="eastAsia" w:ascii="Times New Roman" w:hAnsi="Times New Roman" w:eastAsia="仿宋_GB2312"/>
          <w:sz w:val="32"/>
          <w:szCs w:val="32"/>
          <w:lang w:eastAsia="zh-CN"/>
        </w:rPr>
        <w:t>本单位没有发生</w:t>
      </w:r>
      <w:r>
        <w:rPr>
          <w:rFonts w:hint="eastAsia" w:ascii="Times New Roman" w:hAnsi="Times New Roman" w:eastAsia="仿宋_GB2312"/>
          <w:sz w:val="32"/>
          <w:szCs w:val="32"/>
        </w:rPr>
        <w:t>公务用车运行维护费支出，与上年相比减少</w:t>
      </w:r>
      <w:r>
        <w:rPr>
          <w:rFonts w:hint="eastAsia" w:ascii="Times New Roman" w:hAnsi="Times New Roman" w:eastAsia="仿宋_GB2312"/>
          <w:sz w:val="32"/>
          <w:szCs w:val="32"/>
          <w:lang w:val="en-US" w:eastAsia="zh-CN"/>
        </w:rPr>
        <w:t>2.68</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减少</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%,减少的主要原因是</w:t>
      </w:r>
      <w:r>
        <w:rPr>
          <w:rFonts w:hint="eastAsia" w:ascii="Times New Roman" w:hAnsi="Times New Roman" w:eastAsia="仿宋_GB2312"/>
          <w:sz w:val="32"/>
          <w:szCs w:val="32"/>
          <w:lang w:eastAsia="zh-CN"/>
        </w:rPr>
        <w:t>本年度单位没有产生</w:t>
      </w:r>
      <w:r>
        <w:rPr>
          <w:rFonts w:hint="eastAsia" w:ascii="Times New Roman" w:hAnsi="Times New Roman" w:eastAsia="仿宋_GB2312"/>
          <w:sz w:val="32"/>
          <w:szCs w:val="32"/>
        </w:rPr>
        <w:t>公务用车运行维护费支出。</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cstheme="minorBidi"/>
          <w:color w:val="auto"/>
          <w:kern w:val="2"/>
          <w:sz w:val="32"/>
          <w:szCs w:val="32"/>
          <w:lang w:val="en-US" w:eastAsia="zh-CN" w:bidi="ar-SA"/>
        </w:rPr>
        <w:t>2022年度我单位未开展因公出国（境）活动</w:t>
      </w:r>
      <w:r>
        <w:rPr>
          <w:rFonts w:hint="eastAsia" w:ascii="仿宋_GB2312" w:hAnsi="仿宋_GB2312" w:eastAsia="仿宋_GB2312" w:cs="仿宋_GB2312"/>
          <w:b w:val="0"/>
          <w:bCs w:val="0"/>
          <w:color w:val="auto"/>
          <w:sz w:val="32"/>
          <w:szCs w:val="32"/>
          <w:lang w:val="en-US"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40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290</w:t>
      </w:r>
      <w:r>
        <w:rPr>
          <w:rFonts w:hint="eastAsia" w:ascii="Times New Roman" w:hAnsi="Times New Roman" w:eastAsia="仿宋_GB2312"/>
          <w:sz w:val="32"/>
          <w:szCs w:val="32"/>
        </w:rPr>
        <w:t>人次，主要</w:t>
      </w:r>
      <w:r>
        <w:rPr>
          <w:rFonts w:hint="eastAsia" w:ascii="Times New Roman" w:hAnsi="Times New Roman" w:eastAsia="仿宋_GB2312"/>
          <w:sz w:val="32"/>
          <w:szCs w:val="32"/>
          <w:lang w:eastAsia="zh-CN"/>
        </w:rPr>
        <w:t>是</w:t>
      </w:r>
      <w:r>
        <w:rPr>
          <w:rFonts w:hint="eastAsia" w:ascii="Times New Roman" w:hAnsi="Times New Roman" w:eastAsia="仿宋_GB2312"/>
          <w:sz w:val="32"/>
          <w:szCs w:val="32"/>
          <w:lang w:val="en-US" w:eastAsia="zh-CN"/>
        </w:rPr>
        <w:t>接待</w:t>
      </w:r>
      <w:r>
        <w:rPr>
          <w:rFonts w:hint="eastAsia" w:ascii="Times New Roman" w:hAnsi="Times New Roman" w:eastAsia="仿宋_GB2312"/>
          <w:sz w:val="32"/>
          <w:szCs w:val="32"/>
          <w:lang w:eastAsia="zh-CN"/>
        </w:rPr>
        <w:t>樱桃李项目考察人员，</w:t>
      </w:r>
      <w:r>
        <w:rPr>
          <w:rFonts w:hint="default" w:ascii="Times New Roman" w:hAnsi="Times New Roman" w:eastAsia="仿宋_GB2312"/>
          <w:sz w:val="32"/>
          <w:szCs w:val="32"/>
          <w:lang w:val="en-US" w:eastAsia="zh-CN"/>
        </w:rPr>
        <w:t>打造樱桃李农特产品产业链</w:t>
      </w:r>
      <w:r>
        <w:rPr>
          <w:rFonts w:hint="eastAsia" w:ascii="Times New Roman" w:hAnsi="Times New Roman" w:eastAsia="仿宋_GB2312"/>
          <w:sz w:val="32"/>
          <w:szCs w:val="32"/>
          <w:lang w:val="en-US" w:eastAsia="zh-CN"/>
        </w:rPr>
        <w:t>；接待</w:t>
      </w:r>
      <w:r>
        <w:rPr>
          <w:rFonts w:hint="default" w:ascii="Times New Roman" w:hAnsi="Times New Roman" w:eastAsia="仿宋_GB2312"/>
          <w:sz w:val="32"/>
          <w:szCs w:val="32"/>
          <w:lang w:val="en-US" w:eastAsia="zh-CN"/>
        </w:rPr>
        <w:t>德丰汇生态农业公司合作建设职务种苗组培中心，建设生姜博物馆</w:t>
      </w:r>
      <w:r>
        <w:rPr>
          <w:rFonts w:hint="eastAsia" w:ascii="Times New Roman" w:hAnsi="Times New Roman" w:eastAsia="仿宋_GB2312"/>
          <w:sz w:val="32"/>
          <w:szCs w:val="32"/>
          <w:lang w:val="en-US" w:eastAsia="zh-CN"/>
        </w:rPr>
        <w:t>；接待</w:t>
      </w:r>
      <w:r>
        <w:rPr>
          <w:rFonts w:hint="eastAsia" w:ascii="Times New Roman" w:hAnsi="Times New Roman" w:eastAsia="仿宋_GB2312"/>
          <w:sz w:val="32"/>
          <w:szCs w:val="32"/>
          <w:lang w:eastAsia="zh-CN"/>
        </w:rPr>
        <w:t>一心团膳考察，引进预制菜制作生产；引进</w:t>
      </w:r>
      <w:r>
        <w:rPr>
          <w:rFonts w:hint="default" w:ascii="Times New Roman" w:hAnsi="Times New Roman" w:eastAsia="仿宋_GB2312"/>
          <w:sz w:val="32"/>
          <w:szCs w:val="32"/>
          <w:lang w:val="en-US" w:eastAsia="zh-CN"/>
        </w:rPr>
        <w:t>港蔬菜示范</w:t>
      </w:r>
      <w:r>
        <w:rPr>
          <w:rFonts w:hint="eastAsia" w:ascii="Times New Roman" w:hAnsi="Times New Roman" w:eastAsia="仿宋_GB2312"/>
          <w:sz w:val="32"/>
          <w:szCs w:val="32"/>
          <w:lang w:val="en-US" w:eastAsia="zh-CN"/>
        </w:rPr>
        <w:t>基地考察等活动</w:t>
      </w:r>
      <w:r>
        <w:rPr>
          <w:rFonts w:hint="eastAsia" w:ascii="Times New Roman" w:hAnsi="Times New Roman" w:eastAsia="仿宋_GB2312"/>
          <w:sz w:val="32"/>
          <w:szCs w:val="32"/>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本单位无更新公务用车。</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eastAsia="zh-CN"/>
        </w:rPr>
        <w:t>无</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val="en-US" w:eastAsia="zh-CN"/>
        </w:rPr>
        <w:t>2022年度本单位无政府性基金收支。</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本单位</w:t>
      </w:r>
      <w:r>
        <w:rPr>
          <w:rFonts w:hint="eastAsia" w:ascii="Times New Roman" w:hAnsi="Times New Roman" w:eastAsia="仿宋_GB2312"/>
          <w:color w:val="auto"/>
          <w:sz w:val="32"/>
          <w:szCs w:val="32"/>
          <w:lang w:val="en-US" w:eastAsia="zh-CN"/>
        </w:rPr>
        <w:t>属于公益一类事业</w:t>
      </w:r>
      <w:r>
        <w:rPr>
          <w:rFonts w:hint="eastAsia" w:ascii="Times New Roman" w:hAnsi="Times New Roman" w:eastAsia="仿宋_GB2312"/>
          <w:sz w:val="32"/>
          <w:szCs w:val="32"/>
          <w:lang w:val="en-US" w:eastAsia="zh-CN"/>
        </w:rPr>
        <w:t>单位（或公益二类事业单位），不属于行政单位和参照公务员法管理事业单位，无机关运行经费</w:t>
      </w:r>
      <w:r>
        <w:rPr>
          <w:rFonts w:hint="eastAsia" w:ascii="Times New Roman" w:hAnsi="Times New Roman" w:eastAsia="仿宋_GB2312"/>
          <w:color w:val="auto"/>
          <w:sz w:val="32"/>
          <w:szCs w:val="32"/>
          <w:lang w:val="en-US" w:eastAsia="zh-CN"/>
        </w:rPr>
        <w:t>。</w:t>
      </w:r>
      <w:r>
        <w:rPr>
          <w:rFonts w:hint="eastAsia" w:ascii="Times New Roman" w:hAnsi="Times New Roman" w:eastAsia="仿宋_GB2312"/>
          <w:sz w:val="32"/>
          <w:szCs w:val="32"/>
          <w:lang w:val="en-US" w:eastAsia="zh-CN"/>
        </w:rPr>
        <w:t xml:space="preserve">     </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年本部门</w:t>
      </w:r>
      <w:r>
        <w:rPr>
          <w:rFonts w:hint="eastAsia" w:ascii="Times New Roman" w:hAnsi="Times New Roman" w:eastAsia="仿宋_GB2312"/>
          <w:color w:val="auto"/>
          <w:sz w:val="32"/>
          <w:szCs w:val="32"/>
        </w:rPr>
        <w:t>开支会议费</w:t>
      </w:r>
      <w:r>
        <w:rPr>
          <w:rFonts w:hint="eastAsia" w:ascii="Times New Roman" w:hAnsi="Times New Roman" w:eastAsia="仿宋_GB2312"/>
          <w:color w:val="auto"/>
          <w:sz w:val="32"/>
          <w:szCs w:val="32"/>
          <w:lang w:val="en-US" w:eastAsia="zh-CN"/>
        </w:rPr>
        <w:t>0.4</w:t>
      </w:r>
      <w:r>
        <w:rPr>
          <w:rFonts w:hint="eastAsia" w:ascii="Times New Roman" w:hAnsi="Times New Roman" w:eastAsia="仿宋_GB2312"/>
          <w:color w:val="auto"/>
          <w:sz w:val="32"/>
          <w:szCs w:val="32"/>
        </w:rPr>
        <w:t>万元，用于召开</w:t>
      </w:r>
      <w:r>
        <w:rPr>
          <w:rFonts w:hint="eastAsia" w:ascii="Times New Roman" w:hAnsi="Times New Roman" w:eastAsia="仿宋_GB2312"/>
          <w:color w:val="auto"/>
          <w:sz w:val="32"/>
          <w:szCs w:val="32"/>
          <w:lang w:eastAsia="zh-CN"/>
        </w:rPr>
        <w:t>食用菌科普培训</w:t>
      </w:r>
      <w:r>
        <w:rPr>
          <w:rFonts w:hint="eastAsia" w:ascii="Times New Roman" w:hAnsi="Times New Roman" w:eastAsia="仿宋_GB2312"/>
          <w:color w:val="auto"/>
          <w:sz w:val="32"/>
          <w:szCs w:val="32"/>
        </w:rPr>
        <w:t>会议，人数</w:t>
      </w:r>
      <w:r>
        <w:rPr>
          <w:rFonts w:hint="eastAsia" w:ascii="Times New Roman" w:hAnsi="Times New Roman" w:eastAsia="仿宋_GB2312"/>
          <w:color w:val="auto"/>
          <w:sz w:val="32"/>
          <w:szCs w:val="32"/>
          <w:lang w:val="en-US" w:eastAsia="zh-CN"/>
        </w:rPr>
        <w:t>40</w:t>
      </w:r>
      <w:r>
        <w:rPr>
          <w:rFonts w:hint="eastAsia" w:ascii="Times New Roman" w:hAnsi="Times New Roman" w:eastAsia="仿宋_GB2312"/>
          <w:color w:val="auto"/>
          <w:sz w:val="32"/>
          <w:szCs w:val="32"/>
        </w:rPr>
        <w:t>人，内容为</w:t>
      </w:r>
      <w:r>
        <w:rPr>
          <w:rFonts w:hint="eastAsia" w:ascii="Times New Roman" w:hAnsi="Times New Roman" w:eastAsia="仿宋_GB2312"/>
          <w:color w:val="auto"/>
          <w:sz w:val="32"/>
          <w:szCs w:val="32"/>
          <w:lang w:eastAsia="zh-CN"/>
        </w:rPr>
        <w:t>食用菌种养技术培训</w:t>
      </w:r>
      <w:r>
        <w:rPr>
          <w:rFonts w:hint="eastAsia" w:ascii="Times New Roman" w:hAnsi="Times New Roman" w:eastAsia="仿宋_GB2312"/>
          <w:color w:val="auto"/>
          <w:sz w:val="32"/>
          <w:szCs w:val="32"/>
        </w:rPr>
        <w:t>；</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1.28</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eastAsia="zh-CN"/>
        </w:rPr>
        <w:t>全省事业单位工作人员</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38</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本单位事业单位人员</w:t>
      </w:r>
      <w:r>
        <w:rPr>
          <w:rFonts w:hint="eastAsia" w:ascii="Times New Roman" w:hAnsi="Times New Roman" w:eastAsia="仿宋_GB2312"/>
          <w:sz w:val="32"/>
          <w:szCs w:val="32"/>
        </w:rPr>
        <w:t>培训。</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 xml:space="preserve">  </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辆，其他用车主要是</w:t>
      </w:r>
      <w:r>
        <w:rPr>
          <w:rFonts w:hint="eastAsia" w:ascii="Times New Roman" w:hAnsi="Times New Roman" w:eastAsia="仿宋_GB2312"/>
          <w:sz w:val="32"/>
          <w:szCs w:val="32"/>
          <w:lang w:eastAsia="zh-CN"/>
        </w:rPr>
        <w:t>公务用车</w:t>
      </w:r>
      <w:r>
        <w:rPr>
          <w:rFonts w:hint="eastAsia" w:ascii="Times New Roman" w:hAnsi="Times New Roman" w:eastAsia="仿宋_GB2312"/>
          <w:sz w:val="32"/>
          <w:szCs w:val="32"/>
        </w:rPr>
        <w:t>；单位价值50万元以上通用设备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黑体" w:hAnsi="黑体" w:eastAsia="黑体" w:cs="黑体"/>
          <w:b w:val="0"/>
          <w:bCs/>
          <w:sz w:val="32"/>
          <w:szCs w:val="32"/>
        </w:rPr>
        <w:t>年度预算绩效情况的说明</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bCs/>
          <w:sz w:val="32"/>
          <w:szCs w:val="32"/>
          <w:lang w:eastAsia="zh-CN"/>
        </w:rPr>
      </w:pPr>
      <w:r>
        <w:rPr>
          <w:rFonts w:hint="eastAsia" w:ascii="Times New Roman" w:hAnsi="Times New Roman" w:eastAsia="仿宋_GB2312"/>
          <w:b/>
          <w:bCs/>
          <w:sz w:val="32"/>
          <w:szCs w:val="32"/>
          <w:lang w:eastAsia="zh-CN"/>
        </w:rPr>
        <w:t>一、</w:t>
      </w:r>
      <w:r>
        <w:rPr>
          <w:rFonts w:hint="eastAsia" w:ascii="Times New Roman" w:hAnsi="Times New Roman" w:eastAsia="仿宋_GB2312"/>
          <w:b/>
          <w:bCs/>
          <w:sz w:val="32"/>
          <w:szCs w:val="32"/>
        </w:rPr>
        <w:t>湖南永州国家农业科技园区管理委员会</w:t>
      </w:r>
      <w:r>
        <w:rPr>
          <w:rFonts w:hint="eastAsia" w:ascii="Times New Roman" w:hAnsi="Times New Roman" w:eastAsia="仿宋_GB2312"/>
          <w:b/>
          <w:bCs/>
          <w:sz w:val="32"/>
          <w:szCs w:val="32"/>
          <w:lang w:eastAsia="zh-CN"/>
        </w:rPr>
        <w:t>部门整体</w:t>
      </w:r>
      <w:r>
        <w:rPr>
          <w:rFonts w:hint="eastAsia" w:ascii="Times New Roman" w:hAnsi="Times New Roman" w:eastAsia="仿宋_GB2312"/>
          <w:b/>
          <w:bCs/>
          <w:sz w:val="32"/>
          <w:szCs w:val="32"/>
        </w:rPr>
        <w:t>支出的绩效目标完成情况</w:t>
      </w:r>
      <w:r>
        <w:rPr>
          <w:rFonts w:hint="eastAsia" w:ascii="Times New Roman" w:hAnsi="Times New Roman" w:eastAsia="仿宋_GB2312"/>
          <w:b/>
          <w:bCs/>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default" w:ascii="Times New Roman" w:hAnsi="Times New Roman" w:eastAsia="仿宋_GB2312"/>
          <w:b w:val="0"/>
          <w:bCs w:val="0"/>
          <w:sz w:val="32"/>
          <w:szCs w:val="32"/>
          <w:lang w:val="en-US" w:eastAsia="zh-CN"/>
        </w:rPr>
      </w:pPr>
      <w:r>
        <w:rPr>
          <w:rFonts w:hint="eastAsia" w:ascii="Times New Roman" w:hAnsi="Times New Roman" w:eastAsia="仿宋_GB2312"/>
          <w:b w:val="0"/>
          <w:bCs w:val="0"/>
          <w:sz w:val="32"/>
          <w:szCs w:val="32"/>
          <w:lang w:eastAsia="zh-CN"/>
        </w:rPr>
        <w:t>202</w:t>
      </w:r>
      <w:r>
        <w:rPr>
          <w:rFonts w:hint="eastAsia" w:ascii="Times New Roman" w:hAnsi="Times New Roman" w:eastAsia="仿宋_GB2312"/>
          <w:b w:val="0"/>
          <w:bCs w:val="0"/>
          <w:sz w:val="32"/>
          <w:szCs w:val="32"/>
          <w:lang w:val="en-US" w:eastAsia="zh-CN"/>
        </w:rPr>
        <w:t>2</w:t>
      </w:r>
      <w:r>
        <w:rPr>
          <w:rFonts w:hint="eastAsia" w:ascii="Times New Roman" w:hAnsi="Times New Roman" w:eastAsia="仿宋_GB2312"/>
          <w:b w:val="0"/>
          <w:bCs w:val="0"/>
          <w:sz w:val="32"/>
          <w:szCs w:val="32"/>
          <w:lang w:eastAsia="zh-CN"/>
        </w:rPr>
        <w:t>年我单位一般公共预算财政拨款收入</w:t>
      </w:r>
      <w:r>
        <w:rPr>
          <w:rFonts w:hint="eastAsia" w:ascii="Times New Roman" w:hAnsi="Times New Roman" w:eastAsia="仿宋_GB2312"/>
          <w:b w:val="0"/>
          <w:bCs w:val="0"/>
          <w:sz w:val="32"/>
          <w:szCs w:val="32"/>
          <w:lang w:val="en-US" w:eastAsia="zh-CN"/>
        </w:rPr>
        <w:t>792.19</w:t>
      </w:r>
      <w:r>
        <w:rPr>
          <w:rFonts w:hint="eastAsia" w:ascii="Times New Roman" w:hAnsi="Times New Roman" w:eastAsia="仿宋_GB2312"/>
          <w:b w:val="0"/>
          <w:bCs w:val="0"/>
          <w:sz w:val="32"/>
          <w:szCs w:val="32"/>
          <w:lang w:eastAsia="zh-CN"/>
        </w:rPr>
        <w:t>万元，实际支出</w:t>
      </w:r>
      <w:r>
        <w:rPr>
          <w:rFonts w:hint="eastAsia" w:ascii="Times New Roman" w:hAnsi="Times New Roman" w:eastAsia="仿宋_GB2312"/>
          <w:b w:val="0"/>
          <w:bCs w:val="0"/>
          <w:sz w:val="32"/>
          <w:szCs w:val="32"/>
          <w:lang w:val="en-US" w:eastAsia="zh-CN"/>
        </w:rPr>
        <w:t>792.19</w:t>
      </w:r>
      <w:r>
        <w:rPr>
          <w:rFonts w:hint="eastAsia" w:ascii="Times New Roman" w:hAnsi="Times New Roman" w:eastAsia="仿宋_GB2312"/>
          <w:b w:val="0"/>
          <w:bCs w:val="0"/>
          <w:sz w:val="32"/>
          <w:szCs w:val="32"/>
          <w:lang w:eastAsia="zh-CN"/>
        </w:rPr>
        <w:t>万元；无政府性基金预算支出；无国有资本经营预算支出；无社会保险基金预算支出。我单位一般公共预算支出具体包括工资福利支出</w:t>
      </w:r>
      <w:r>
        <w:rPr>
          <w:rFonts w:hint="eastAsia" w:ascii="Times New Roman" w:hAnsi="Times New Roman" w:eastAsia="仿宋_GB2312"/>
          <w:b w:val="0"/>
          <w:bCs w:val="0"/>
          <w:sz w:val="32"/>
          <w:szCs w:val="32"/>
          <w:lang w:val="en-US" w:eastAsia="zh-CN"/>
        </w:rPr>
        <w:t>481.01</w:t>
      </w:r>
      <w:r>
        <w:rPr>
          <w:rFonts w:hint="eastAsia" w:ascii="Times New Roman" w:hAnsi="Times New Roman" w:eastAsia="仿宋_GB2312"/>
          <w:b w:val="0"/>
          <w:bCs w:val="0"/>
          <w:sz w:val="32"/>
          <w:szCs w:val="32"/>
          <w:lang w:eastAsia="zh-CN"/>
        </w:rPr>
        <w:t>万元，其中基本工资</w:t>
      </w:r>
      <w:r>
        <w:rPr>
          <w:rFonts w:hint="eastAsia" w:ascii="Times New Roman" w:hAnsi="Times New Roman" w:eastAsia="仿宋_GB2312"/>
          <w:b w:val="0"/>
          <w:bCs w:val="0"/>
          <w:sz w:val="32"/>
          <w:szCs w:val="32"/>
          <w:lang w:val="en-US" w:eastAsia="zh-CN"/>
        </w:rPr>
        <w:t>136.69</w:t>
      </w:r>
      <w:r>
        <w:rPr>
          <w:rFonts w:hint="eastAsia" w:ascii="Times New Roman" w:hAnsi="Times New Roman" w:eastAsia="仿宋_GB2312"/>
          <w:b w:val="0"/>
          <w:bCs w:val="0"/>
          <w:sz w:val="32"/>
          <w:szCs w:val="32"/>
          <w:lang w:eastAsia="zh-CN"/>
        </w:rPr>
        <w:t>万元，津贴补贴</w:t>
      </w:r>
      <w:r>
        <w:rPr>
          <w:rFonts w:hint="eastAsia" w:ascii="Times New Roman" w:hAnsi="Times New Roman" w:eastAsia="仿宋_GB2312"/>
          <w:b w:val="0"/>
          <w:bCs w:val="0"/>
          <w:sz w:val="32"/>
          <w:szCs w:val="32"/>
          <w:lang w:val="en-US" w:eastAsia="zh-CN"/>
        </w:rPr>
        <w:t>82.79</w:t>
      </w:r>
      <w:r>
        <w:rPr>
          <w:rFonts w:hint="eastAsia" w:ascii="Times New Roman" w:hAnsi="Times New Roman" w:eastAsia="仿宋_GB2312"/>
          <w:b w:val="0"/>
          <w:bCs w:val="0"/>
          <w:sz w:val="32"/>
          <w:szCs w:val="32"/>
          <w:lang w:eastAsia="zh-CN"/>
        </w:rPr>
        <w:t>万元</w:t>
      </w:r>
      <w:r>
        <w:rPr>
          <w:rFonts w:hint="eastAsia" w:ascii="Times New Roman" w:hAnsi="Times New Roman" w:eastAsia="仿宋_GB2312"/>
          <w:b w:val="0"/>
          <w:bCs w:val="0"/>
          <w:sz w:val="32"/>
          <w:szCs w:val="32"/>
          <w:lang w:val="en-US" w:eastAsia="zh-CN"/>
        </w:rPr>
        <w:t>，</w:t>
      </w:r>
      <w:r>
        <w:rPr>
          <w:rFonts w:hint="eastAsia" w:ascii="Times New Roman" w:hAnsi="Times New Roman" w:eastAsia="仿宋_GB2312"/>
          <w:b w:val="0"/>
          <w:bCs w:val="0"/>
          <w:sz w:val="32"/>
          <w:szCs w:val="32"/>
          <w:lang w:eastAsia="zh-CN"/>
        </w:rPr>
        <w:t>奖金</w:t>
      </w:r>
      <w:r>
        <w:rPr>
          <w:rFonts w:hint="eastAsia" w:ascii="Times New Roman" w:hAnsi="Times New Roman" w:eastAsia="仿宋_GB2312"/>
          <w:b w:val="0"/>
          <w:bCs w:val="0"/>
          <w:sz w:val="32"/>
          <w:szCs w:val="32"/>
          <w:lang w:val="en-US" w:eastAsia="zh-CN"/>
        </w:rPr>
        <w:t>77.55</w:t>
      </w:r>
      <w:r>
        <w:rPr>
          <w:rFonts w:hint="eastAsia" w:ascii="Times New Roman" w:hAnsi="Times New Roman" w:eastAsia="仿宋_GB2312"/>
          <w:b w:val="0"/>
          <w:bCs w:val="0"/>
          <w:sz w:val="32"/>
          <w:szCs w:val="32"/>
          <w:lang w:eastAsia="zh-CN"/>
        </w:rPr>
        <w:t>万元，绩效工资</w:t>
      </w:r>
      <w:r>
        <w:rPr>
          <w:rFonts w:hint="eastAsia" w:ascii="Times New Roman" w:hAnsi="Times New Roman" w:eastAsia="仿宋_GB2312"/>
          <w:b w:val="0"/>
          <w:bCs w:val="0"/>
          <w:sz w:val="32"/>
          <w:szCs w:val="32"/>
          <w:lang w:val="en-US" w:eastAsia="zh-CN"/>
        </w:rPr>
        <w:t>101.53</w:t>
      </w:r>
      <w:r>
        <w:rPr>
          <w:rFonts w:hint="eastAsia" w:ascii="Times New Roman" w:hAnsi="Times New Roman" w:eastAsia="仿宋_GB2312"/>
          <w:b w:val="0"/>
          <w:bCs w:val="0"/>
          <w:sz w:val="32"/>
          <w:szCs w:val="32"/>
          <w:lang w:eastAsia="zh-CN"/>
        </w:rPr>
        <w:t>万元，机关事业单位基本养老保险缴费</w:t>
      </w:r>
      <w:r>
        <w:rPr>
          <w:rFonts w:hint="eastAsia" w:ascii="Times New Roman" w:hAnsi="Times New Roman" w:eastAsia="仿宋_GB2312"/>
          <w:b w:val="0"/>
          <w:bCs w:val="0"/>
          <w:sz w:val="32"/>
          <w:szCs w:val="32"/>
          <w:lang w:val="en-US" w:eastAsia="zh-CN"/>
        </w:rPr>
        <w:t>35.96</w:t>
      </w:r>
      <w:r>
        <w:rPr>
          <w:rFonts w:hint="eastAsia" w:ascii="Times New Roman" w:hAnsi="Times New Roman" w:eastAsia="仿宋_GB2312"/>
          <w:b w:val="0"/>
          <w:bCs w:val="0"/>
          <w:sz w:val="32"/>
          <w:szCs w:val="32"/>
          <w:lang w:eastAsia="zh-CN"/>
        </w:rPr>
        <w:t>万元，职工基本医疗保险缴费</w:t>
      </w:r>
      <w:r>
        <w:rPr>
          <w:rFonts w:hint="eastAsia" w:ascii="Times New Roman" w:hAnsi="Times New Roman" w:eastAsia="仿宋_GB2312"/>
          <w:b w:val="0"/>
          <w:bCs w:val="0"/>
          <w:sz w:val="32"/>
          <w:szCs w:val="32"/>
          <w:lang w:val="en-US" w:eastAsia="zh-CN"/>
        </w:rPr>
        <w:t>19.55</w:t>
      </w:r>
      <w:r>
        <w:rPr>
          <w:rFonts w:hint="eastAsia" w:ascii="Times New Roman" w:hAnsi="Times New Roman" w:eastAsia="仿宋_GB2312"/>
          <w:b w:val="0"/>
          <w:bCs w:val="0"/>
          <w:sz w:val="32"/>
          <w:szCs w:val="32"/>
          <w:lang w:eastAsia="zh-CN"/>
        </w:rPr>
        <w:t>万元，住房公积金</w:t>
      </w:r>
      <w:r>
        <w:rPr>
          <w:rFonts w:hint="eastAsia" w:ascii="Times New Roman" w:hAnsi="Times New Roman" w:eastAsia="仿宋_GB2312"/>
          <w:b w:val="0"/>
          <w:bCs w:val="0"/>
          <w:sz w:val="32"/>
          <w:szCs w:val="32"/>
          <w:lang w:val="en-US" w:eastAsia="zh-CN"/>
        </w:rPr>
        <w:t>26.94</w:t>
      </w:r>
      <w:r>
        <w:rPr>
          <w:rFonts w:hint="eastAsia" w:ascii="Times New Roman" w:hAnsi="Times New Roman" w:eastAsia="仿宋_GB2312"/>
          <w:b w:val="0"/>
          <w:bCs w:val="0"/>
          <w:sz w:val="32"/>
          <w:szCs w:val="32"/>
          <w:lang w:eastAsia="zh-CN"/>
        </w:rPr>
        <w:t>万元；一般商品和服务支出</w:t>
      </w:r>
      <w:r>
        <w:rPr>
          <w:rFonts w:hint="eastAsia" w:ascii="Times New Roman" w:hAnsi="Times New Roman" w:eastAsia="仿宋_GB2312"/>
          <w:b w:val="0"/>
          <w:bCs w:val="0"/>
          <w:sz w:val="32"/>
          <w:szCs w:val="32"/>
          <w:lang w:val="en-US" w:eastAsia="zh-CN"/>
        </w:rPr>
        <w:t>51.18</w:t>
      </w:r>
      <w:r>
        <w:rPr>
          <w:rFonts w:hint="eastAsia" w:ascii="Times New Roman" w:hAnsi="Times New Roman" w:eastAsia="仿宋_GB2312"/>
          <w:b w:val="0"/>
          <w:bCs w:val="0"/>
          <w:sz w:val="32"/>
          <w:szCs w:val="32"/>
          <w:lang w:eastAsia="zh-CN"/>
        </w:rPr>
        <w:t>万元，其中办公费</w:t>
      </w:r>
      <w:r>
        <w:rPr>
          <w:rFonts w:hint="eastAsia" w:ascii="Times New Roman" w:hAnsi="Times New Roman" w:eastAsia="仿宋_GB2312"/>
          <w:b w:val="0"/>
          <w:bCs w:val="0"/>
          <w:sz w:val="32"/>
          <w:szCs w:val="32"/>
          <w:lang w:val="en-US" w:eastAsia="zh-CN"/>
        </w:rPr>
        <w:t>5</w:t>
      </w:r>
      <w:r>
        <w:rPr>
          <w:rFonts w:hint="eastAsia" w:ascii="Times New Roman" w:hAnsi="Times New Roman" w:eastAsia="仿宋_GB2312"/>
          <w:b w:val="0"/>
          <w:bCs w:val="0"/>
          <w:sz w:val="32"/>
          <w:szCs w:val="32"/>
          <w:lang w:eastAsia="zh-CN"/>
        </w:rPr>
        <w:t>万元，邮电费</w:t>
      </w:r>
      <w:r>
        <w:rPr>
          <w:rFonts w:hint="eastAsia" w:ascii="Times New Roman" w:hAnsi="Times New Roman" w:eastAsia="仿宋_GB2312"/>
          <w:b w:val="0"/>
          <w:bCs w:val="0"/>
          <w:sz w:val="32"/>
          <w:szCs w:val="32"/>
          <w:lang w:val="en-US" w:eastAsia="zh-CN"/>
        </w:rPr>
        <w:t>0.5</w:t>
      </w:r>
      <w:r>
        <w:rPr>
          <w:rFonts w:hint="eastAsia" w:ascii="Times New Roman" w:hAnsi="Times New Roman" w:eastAsia="仿宋_GB2312"/>
          <w:b w:val="0"/>
          <w:bCs w:val="0"/>
          <w:sz w:val="32"/>
          <w:szCs w:val="32"/>
          <w:lang w:eastAsia="zh-CN"/>
        </w:rPr>
        <w:t>万元，差旅费</w:t>
      </w:r>
      <w:r>
        <w:rPr>
          <w:rFonts w:hint="eastAsia" w:ascii="Times New Roman" w:hAnsi="Times New Roman" w:eastAsia="仿宋_GB2312"/>
          <w:b w:val="0"/>
          <w:bCs w:val="0"/>
          <w:sz w:val="32"/>
          <w:szCs w:val="32"/>
          <w:lang w:val="en-US" w:eastAsia="zh-CN"/>
        </w:rPr>
        <w:t>1.16万元，维修（护）费0.2万元，会议费0.4万元，培训费1.28万元，</w:t>
      </w:r>
      <w:r>
        <w:rPr>
          <w:rFonts w:hint="eastAsia" w:ascii="Times New Roman" w:hAnsi="Times New Roman" w:eastAsia="仿宋_GB2312"/>
          <w:b w:val="0"/>
          <w:bCs w:val="0"/>
          <w:sz w:val="32"/>
          <w:szCs w:val="32"/>
          <w:lang w:eastAsia="zh-CN"/>
        </w:rPr>
        <w:t>公务接待费</w:t>
      </w:r>
      <w:r>
        <w:rPr>
          <w:rFonts w:hint="eastAsia" w:ascii="Times New Roman" w:hAnsi="Times New Roman" w:eastAsia="仿宋_GB2312"/>
          <w:b w:val="0"/>
          <w:bCs w:val="0"/>
          <w:sz w:val="32"/>
          <w:szCs w:val="32"/>
          <w:lang w:val="en-US" w:eastAsia="zh-CN"/>
        </w:rPr>
        <w:t>4</w:t>
      </w:r>
      <w:r>
        <w:rPr>
          <w:rFonts w:hint="eastAsia" w:ascii="Times New Roman" w:hAnsi="Times New Roman" w:eastAsia="仿宋_GB2312"/>
          <w:b w:val="0"/>
          <w:bCs w:val="0"/>
          <w:sz w:val="32"/>
          <w:szCs w:val="32"/>
          <w:lang w:eastAsia="zh-CN"/>
        </w:rPr>
        <w:t>万元，劳务费</w:t>
      </w:r>
      <w:r>
        <w:rPr>
          <w:rFonts w:hint="eastAsia" w:ascii="Times New Roman" w:hAnsi="Times New Roman" w:eastAsia="仿宋_GB2312"/>
          <w:b w:val="0"/>
          <w:bCs w:val="0"/>
          <w:sz w:val="32"/>
          <w:szCs w:val="32"/>
          <w:lang w:val="en-US" w:eastAsia="zh-CN"/>
        </w:rPr>
        <w:t>0.2</w:t>
      </w:r>
      <w:r>
        <w:rPr>
          <w:rFonts w:hint="eastAsia" w:ascii="Times New Roman" w:hAnsi="Times New Roman" w:eastAsia="仿宋_GB2312"/>
          <w:b w:val="0"/>
          <w:bCs w:val="0"/>
          <w:sz w:val="32"/>
          <w:szCs w:val="32"/>
          <w:lang w:eastAsia="zh-CN"/>
        </w:rPr>
        <w:t>万元，工会经费</w:t>
      </w:r>
      <w:r>
        <w:rPr>
          <w:rFonts w:hint="eastAsia" w:ascii="Times New Roman" w:hAnsi="Times New Roman" w:eastAsia="仿宋_GB2312"/>
          <w:b w:val="0"/>
          <w:bCs w:val="0"/>
          <w:sz w:val="32"/>
          <w:szCs w:val="32"/>
          <w:lang w:val="en-US" w:eastAsia="zh-CN"/>
        </w:rPr>
        <w:t>4.44</w:t>
      </w:r>
      <w:r>
        <w:rPr>
          <w:rFonts w:hint="eastAsia" w:ascii="Times New Roman" w:hAnsi="Times New Roman" w:eastAsia="仿宋_GB2312"/>
          <w:b w:val="0"/>
          <w:bCs w:val="0"/>
          <w:sz w:val="32"/>
          <w:szCs w:val="32"/>
          <w:lang w:eastAsia="zh-CN"/>
        </w:rPr>
        <w:t>万元，其他交通费用</w:t>
      </w:r>
      <w:r>
        <w:rPr>
          <w:rFonts w:hint="eastAsia" w:ascii="Times New Roman" w:hAnsi="Times New Roman" w:eastAsia="仿宋_GB2312"/>
          <w:b w:val="0"/>
          <w:bCs w:val="0"/>
          <w:sz w:val="32"/>
          <w:szCs w:val="32"/>
          <w:lang w:val="en-US" w:eastAsia="zh-CN"/>
        </w:rPr>
        <w:t>26.2</w:t>
      </w:r>
      <w:r>
        <w:rPr>
          <w:rFonts w:hint="eastAsia" w:ascii="Times New Roman" w:hAnsi="Times New Roman" w:eastAsia="仿宋_GB2312"/>
          <w:b w:val="0"/>
          <w:bCs w:val="0"/>
          <w:sz w:val="32"/>
          <w:szCs w:val="32"/>
          <w:lang w:eastAsia="zh-CN"/>
        </w:rPr>
        <w:t>万元，其他商品和服务支出</w:t>
      </w:r>
      <w:r>
        <w:rPr>
          <w:rFonts w:hint="eastAsia" w:ascii="Times New Roman" w:hAnsi="Times New Roman" w:eastAsia="仿宋_GB2312"/>
          <w:b w:val="0"/>
          <w:bCs w:val="0"/>
          <w:sz w:val="32"/>
          <w:szCs w:val="32"/>
          <w:lang w:val="en-US" w:eastAsia="zh-CN"/>
        </w:rPr>
        <w:t>7.8</w:t>
      </w:r>
      <w:r>
        <w:rPr>
          <w:rFonts w:hint="eastAsia" w:ascii="Times New Roman" w:hAnsi="Times New Roman" w:eastAsia="仿宋_GB2312"/>
          <w:b w:val="0"/>
          <w:bCs w:val="0"/>
          <w:sz w:val="32"/>
          <w:szCs w:val="32"/>
          <w:lang w:eastAsia="zh-CN"/>
        </w:rPr>
        <w:t>万元。项目支出</w:t>
      </w:r>
      <w:r>
        <w:rPr>
          <w:rFonts w:hint="eastAsia" w:ascii="Times New Roman" w:hAnsi="Times New Roman" w:eastAsia="仿宋_GB2312"/>
          <w:b w:val="0"/>
          <w:bCs w:val="0"/>
          <w:sz w:val="32"/>
          <w:szCs w:val="32"/>
          <w:lang w:val="en-US" w:eastAsia="zh-CN"/>
        </w:rPr>
        <w:t>260万元，其中基本建设类项目60万元。</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val="0"/>
          <w:bCs w:val="0"/>
          <w:sz w:val="32"/>
          <w:szCs w:val="32"/>
          <w:lang w:eastAsia="zh-CN"/>
        </w:rPr>
      </w:pPr>
      <w:r>
        <w:rPr>
          <w:rFonts w:hint="eastAsia" w:ascii="Times New Roman" w:hAnsi="Times New Roman" w:eastAsia="仿宋_GB2312"/>
          <w:b w:val="0"/>
          <w:bCs w:val="0"/>
          <w:sz w:val="32"/>
          <w:szCs w:val="32"/>
          <w:lang w:eastAsia="zh-CN"/>
        </w:rPr>
        <w:t>我单位一般公共预算支出涵盖单位人员经费及公用经费。所有开支均按照我单位财务管理制度执行，严格按照资金管理办法使用，达到了预期效果，做到了资金投入合理，政策执行有力，资金落实到位，财务管理规范，提升了政府形象，提高了政府的公信力。</w:t>
      </w:r>
    </w:p>
    <w:p>
      <w:pPr>
        <w:pStyle w:val="10"/>
        <w:keepNext w:val="0"/>
        <w:keepLines w:val="0"/>
        <w:pageBreakBefore w:val="0"/>
        <w:widowControl w:val="0"/>
        <w:numPr>
          <w:ilvl w:val="0"/>
          <w:numId w:val="4"/>
        </w:numPr>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bCs/>
          <w:sz w:val="32"/>
          <w:szCs w:val="32"/>
        </w:rPr>
      </w:pPr>
      <w:r>
        <w:rPr>
          <w:rFonts w:hint="eastAsia" w:ascii="Times New Roman" w:hAnsi="Times New Roman" w:eastAsia="仿宋_GB2312"/>
          <w:b/>
          <w:bCs/>
          <w:sz w:val="32"/>
          <w:szCs w:val="32"/>
          <w:lang w:eastAsia="zh-CN"/>
        </w:rPr>
        <w:t>湖南永州国家农业科技园区管理委员会</w:t>
      </w:r>
      <w:r>
        <w:rPr>
          <w:rFonts w:hint="eastAsia" w:ascii="Times New Roman" w:hAnsi="Times New Roman" w:eastAsia="仿宋_GB2312"/>
          <w:b/>
          <w:bCs/>
          <w:sz w:val="32"/>
          <w:szCs w:val="32"/>
        </w:rPr>
        <w:t>实现产出和取得效益的情况。</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val="0"/>
          <w:bCs w:val="0"/>
          <w:sz w:val="32"/>
          <w:szCs w:val="32"/>
          <w:lang w:eastAsia="zh-CN"/>
        </w:rPr>
      </w:pPr>
      <w:r>
        <w:rPr>
          <w:rFonts w:hint="eastAsia" w:ascii="Times New Roman" w:hAnsi="Times New Roman" w:eastAsia="仿宋_GB2312"/>
          <w:b w:val="0"/>
          <w:bCs w:val="0"/>
          <w:sz w:val="32"/>
          <w:szCs w:val="32"/>
          <w:lang w:eastAsia="zh-CN"/>
        </w:rPr>
        <w:t>园区经济运行情况。据初步统计，2022年园区共有入园区企业86家，其中农产品加工企业15家。完成园区总产值219.1亿元，总营业收入156亿元，完成园区税收12548万元，园区用工人数约2600余人。</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val="0"/>
          <w:bCs w:val="0"/>
          <w:sz w:val="32"/>
          <w:szCs w:val="32"/>
          <w:lang w:eastAsia="zh-CN"/>
        </w:rPr>
      </w:pPr>
      <w:r>
        <w:rPr>
          <w:rFonts w:hint="eastAsia" w:ascii="Times New Roman" w:hAnsi="Times New Roman" w:eastAsia="仿宋_GB2312"/>
          <w:b w:val="0"/>
          <w:bCs w:val="0"/>
          <w:sz w:val="32"/>
          <w:szCs w:val="32"/>
          <w:lang w:eastAsia="zh-CN"/>
        </w:rPr>
        <w:t>项目建设稳步推进。其一，标准厂房一期项目：投资8400万元、建筑面积2万平方米的标准厂房已完成了1—4#厂房内环路沿建设、室内外装修和楼梯、门窗、变压器安装；基本完成了室外主干路网沥青路面、景观绿化建设。目前项目正在开展竣工验收，亟待企业入驻投产；其二，海大集团年产25万吨生物饲料项目：中国500强企业海大集团投资1亿元的年产25万吨生物饲料项目已完成55亩建设用地出让摘牌。目前项目相关手续正在积极办理中，预计2023年可顺利开工建设；其三，天然气管网项目：今年10月，启动天然气管网项目。与永州新奥燃气公司签约，该公司投资3000万元在园区建设天然气管网，园区承载能力不断增强。现燃气管道已铺设至冷竹公路二广高速路口，项目管网建成后，可基本实现园区核心区内天然气管网全覆盖，每年可向园区企业及周边用户供应天然气能源；其四，中国农科院衡阳红壤实验站孟公山基地项目：今年6月，扶持永州远鸿农林公司投资300余万元建设食用菌（黑木耳）项目，完成一期100亩土地40万个菌棒的栽种，带动就业100余人。12月即迎来黑木耳大丰收亩产值在3.6万元以上，有效带动了周边农户增收致富；其五，伊塘污水处理厂及配套管网PPP项目：积极破解伊塘污水处理厂及配套管网PPP项目推进难得问题。目前，永州农业高科技发展有限责任公司已与项目公司多次洽谈，形成共识，继续合作共建伊塘污水处理厂及配套管网PPP项目，现正在共同拟定合作框架协议。同时，对接市内多家金融机构，正在协调解决伊塘污水处理厂及配套管网PPP项目建设融资难的问题。</w:t>
      </w:r>
    </w:p>
    <w:p>
      <w:pPr>
        <w:pStyle w:val="10"/>
        <w:keepNext w:val="0"/>
        <w:keepLines w:val="0"/>
        <w:pageBreakBefore w:val="0"/>
        <w:widowControl w:val="0"/>
        <w:numPr>
          <w:ilvl w:val="0"/>
          <w:numId w:val="4"/>
        </w:numPr>
        <w:kinsoku/>
        <w:wordWrap/>
        <w:overflowPunct/>
        <w:topLinePunct w:val="0"/>
        <w:bidi w:val="0"/>
        <w:snapToGrid/>
        <w:spacing w:line="600" w:lineRule="exact"/>
        <w:ind w:left="0" w:leftChars="0" w:firstLine="640" w:firstLineChars="200"/>
        <w:jc w:val="left"/>
        <w:textAlignment w:val="auto"/>
        <w:rPr>
          <w:rFonts w:hint="eastAsia" w:ascii="Times New Roman" w:hAnsi="Times New Roman" w:eastAsia="仿宋_GB2312"/>
          <w:b/>
          <w:bCs/>
          <w:sz w:val="32"/>
          <w:szCs w:val="32"/>
          <w:lang w:eastAsia="zh-CN"/>
        </w:rPr>
      </w:pPr>
      <w:r>
        <w:rPr>
          <w:rFonts w:hint="eastAsia" w:ascii="Times New Roman" w:hAnsi="Times New Roman" w:eastAsia="仿宋_GB2312"/>
          <w:b/>
          <w:bCs/>
          <w:sz w:val="32"/>
          <w:szCs w:val="32"/>
          <w:lang w:eastAsia="zh-CN"/>
        </w:rPr>
        <w:t>湖南永州国家农业科技园区管理委员会</w:t>
      </w:r>
      <w:r>
        <w:rPr>
          <w:rFonts w:hint="eastAsia" w:ascii="Times New Roman" w:hAnsi="Times New Roman" w:eastAsia="仿宋_GB2312"/>
          <w:b/>
          <w:bCs/>
          <w:sz w:val="32"/>
          <w:szCs w:val="32"/>
        </w:rPr>
        <w:t>职责、行业发展规划</w:t>
      </w:r>
      <w:r>
        <w:rPr>
          <w:rFonts w:hint="eastAsia" w:ascii="Times New Roman" w:hAnsi="Times New Roman" w:eastAsia="仿宋_GB2312"/>
          <w:b/>
          <w:bCs/>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val="0"/>
          <w:bCs w:val="0"/>
          <w:sz w:val="32"/>
          <w:szCs w:val="32"/>
          <w:lang w:eastAsia="zh-CN"/>
        </w:rPr>
      </w:pPr>
      <w:r>
        <w:rPr>
          <w:rFonts w:hint="eastAsia" w:ascii="Times New Roman" w:hAnsi="Times New Roman" w:eastAsia="仿宋_GB2312"/>
          <w:b w:val="0"/>
          <w:bCs w:val="0"/>
          <w:sz w:val="32"/>
          <w:szCs w:val="32"/>
          <w:lang w:eastAsia="zh-CN"/>
        </w:rPr>
        <w:t>根据《关于湖南永州国家农业科技园区管理委员会的批复》（湘编办复字{2015}56号）和《中共永州市委常委办公会议纪要》（2016第6期）农科园单位主要职责包括：负责国家、省有关农业科技园区发展的法律、法规和政策的贯彻实施，落实市委、市政府的重要决策和工作部暑。根据全市国民经济和社会发展规划、土地利用总体规划，负责编制园区中长期发展规划和年度工作计划，经批准后组织实施。负责园区农业科技成果、先进实用技术的引进，示范、创新和推广，推进优质农产品标准化和产业化建设。负责组织园区各类科技项目申报、实施和农业高新技术企业的申报以及科技成果鉴定、验收、奖励。负责园区基础设施规划、建设和管理。负责园区建设融资和招商引资工作。负责园区与各类科研机构（院校）开晨合作交流，加强各类专业技术人才的引进、培训、培养工作。负责园区党务、群团、人事、人才、统计、审计、财务、国有资产管理、人力资源和社会保障、社会管理综合治理、安全生产监督、环境卫生等工作。承办市委、市政府交办的其他事项。</w:t>
      </w:r>
    </w:p>
    <w:p>
      <w:pPr>
        <w:pStyle w:val="10"/>
        <w:keepNext w:val="0"/>
        <w:keepLines w:val="0"/>
        <w:pageBreakBefore w:val="0"/>
        <w:widowControl w:val="0"/>
        <w:numPr>
          <w:ilvl w:val="0"/>
          <w:numId w:val="4"/>
        </w:numPr>
        <w:kinsoku/>
        <w:wordWrap/>
        <w:overflowPunct/>
        <w:topLinePunct w:val="0"/>
        <w:bidi w:val="0"/>
        <w:snapToGrid/>
        <w:spacing w:line="600" w:lineRule="exact"/>
        <w:ind w:left="0" w:leftChars="0" w:firstLine="640" w:firstLineChars="200"/>
        <w:jc w:val="left"/>
        <w:textAlignment w:val="auto"/>
        <w:rPr>
          <w:rFonts w:hint="eastAsia" w:ascii="Times New Roman" w:hAnsi="Times New Roman" w:eastAsia="仿宋_GB2312"/>
          <w:b/>
          <w:bCs/>
          <w:sz w:val="32"/>
          <w:szCs w:val="32"/>
          <w:lang w:eastAsia="zh-CN"/>
        </w:rPr>
      </w:pPr>
      <w:r>
        <w:rPr>
          <w:rFonts w:hint="eastAsia" w:ascii="Times New Roman" w:hAnsi="Times New Roman" w:eastAsia="仿宋_GB2312"/>
          <w:b/>
          <w:bCs/>
          <w:sz w:val="32"/>
          <w:szCs w:val="32"/>
        </w:rPr>
        <w:t>以预算资金管理为主线，</w:t>
      </w:r>
      <w:r>
        <w:rPr>
          <w:rFonts w:hint="eastAsia" w:ascii="Times New Roman" w:hAnsi="Times New Roman" w:eastAsia="仿宋_GB2312"/>
          <w:b/>
          <w:bCs/>
          <w:sz w:val="32"/>
          <w:szCs w:val="32"/>
          <w:lang w:eastAsia="zh-CN"/>
        </w:rPr>
        <w:t>湖南永州国家农业科技园区管理委员会</w:t>
      </w:r>
      <w:r>
        <w:rPr>
          <w:rFonts w:hint="eastAsia" w:ascii="Times New Roman" w:hAnsi="Times New Roman" w:eastAsia="仿宋_GB2312"/>
          <w:b/>
          <w:bCs/>
          <w:sz w:val="32"/>
          <w:szCs w:val="32"/>
        </w:rPr>
        <w:t>资产管理和开展业务情况</w:t>
      </w:r>
      <w:r>
        <w:rPr>
          <w:rFonts w:hint="eastAsia" w:ascii="Times New Roman" w:hAnsi="Times New Roman" w:eastAsia="仿宋_GB2312"/>
          <w:b/>
          <w:bCs/>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val="0"/>
          <w:bCs w:val="0"/>
          <w:sz w:val="32"/>
          <w:szCs w:val="32"/>
          <w:lang w:val="en-US" w:eastAsia="zh-CN"/>
        </w:rPr>
      </w:pPr>
      <w:r>
        <w:rPr>
          <w:rFonts w:hint="eastAsia" w:ascii="Times New Roman" w:hAnsi="Times New Roman" w:eastAsia="仿宋_GB2312"/>
          <w:b/>
          <w:bCs/>
          <w:sz w:val="32"/>
          <w:szCs w:val="32"/>
          <w:lang w:val="en-US" w:eastAsia="zh-CN"/>
        </w:rPr>
        <w:t xml:space="preserve"> </w:t>
      </w:r>
      <w:r>
        <w:rPr>
          <w:rFonts w:hint="eastAsia" w:ascii="Times New Roman" w:hAnsi="Times New Roman" w:eastAsia="仿宋_GB2312"/>
          <w:b w:val="0"/>
          <w:bCs w:val="0"/>
          <w:sz w:val="32"/>
          <w:szCs w:val="32"/>
          <w:lang w:val="en-US" w:eastAsia="zh-CN"/>
        </w:rPr>
        <w:t>截至2022年12月31日，农科园资产总计409万元，其中资产包括流动资产0.028万元和非流动资产408.99万元。流动资产包括货币资金0.028万元。非流动资产包括固定资产净值12.45万元（固定资产原值63.48万元减累计折旧51.03万元）和污水处理厂土地（无形资产）净值396.45万元。</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default" w:ascii="Times New Roman" w:hAnsi="Times New Roman" w:eastAsia="仿宋_GB2312"/>
          <w:b w:val="0"/>
          <w:bCs w:val="0"/>
          <w:sz w:val="32"/>
          <w:szCs w:val="32"/>
          <w:lang w:val="en-US" w:eastAsia="zh-CN"/>
        </w:rPr>
      </w:pPr>
      <w:r>
        <w:rPr>
          <w:rFonts w:hint="default" w:ascii="Times New Roman" w:hAnsi="Times New Roman" w:eastAsia="仿宋_GB2312"/>
          <w:b w:val="0"/>
          <w:bCs w:val="0"/>
          <w:sz w:val="32"/>
          <w:szCs w:val="32"/>
          <w:lang w:val="en-US" w:eastAsia="zh-CN"/>
        </w:rPr>
        <w:t>农科园目前的资产资源主要有：1.市农科园伊塘污水处理厂及配套管网PPP项目用地，宗地面积为26666.67平方米，属性为公共设施用地，划拨价款为396.448万元。2.车辆：2019年6月经永州市公车改革办公务用车制度改革工作领导小组审定，同意我单位保留荣威牌轿车公务用车一辆。（该车辆主要负责异地办公、客商接待、文件档案接送）。3.存在的无形资源：园区获得国家、省、市授权的科研牌子；园区企业及企业所拥有的著名商标，拥有的科研技术中心所发明的各类科研项目、专利、引进和推广新技术、新品种、新设施;形成了以粮油加工、果蔬加工、天然辛香料萃取为龙头的农副产品精深加工业，以永州森林植物园为核心的乡村旅游休闲观光业，及园区开展的院园企合作。</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default" w:ascii="Times New Roman" w:hAnsi="Times New Roman" w:eastAsia="仿宋_GB2312"/>
          <w:b/>
          <w:bCs/>
          <w:sz w:val="32"/>
          <w:szCs w:val="32"/>
          <w:lang w:val="en-US" w:eastAsia="zh-CN"/>
        </w:rPr>
      </w:pPr>
      <w:r>
        <w:rPr>
          <w:rFonts w:hint="default" w:ascii="Times New Roman" w:hAnsi="Times New Roman" w:eastAsia="仿宋_GB2312"/>
          <w:b w:val="0"/>
          <w:bCs w:val="0"/>
          <w:sz w:val="32"/>
          <w:szCs w:val="32"/>
          <w:lang w:val="en-US" w:eastAsia="zh-CN"/>
        </w:rPr>
        <w:t>下一步，我们将不断加强园区土地使用权建设，完善基础设施，招资引项，企业落户，创造经济效益，增加财税收益，以税收支持收益，带动周边就业需求，提升社会效益及所在地域群众满意度。以园区企业发展空间，科技平台，提升园区产业附加值。发展示范带带动效应，带动全市农业科技水平。具体措施：通过园区平台，向上争取国家农业产业融合发展项目资金4000万元用于园区基础设施的建设。通过引进项目，壮大果蔬产业集群，做好樱桃李产业园的项目落地，力争首期种植300亩，打造樱桃李农特产品产业链。通过引进德丰汇生态农业公司合作建设职务种苗组培中心，建设生姜博物馆，壮大虎抓姜产业。紧扣园区特色产业（油茶、西瓜、柑橘、食用菌等）打造2-3个500亩以上的示范基地。支持园区绿生源公司申报创建油茶类工程技术中心等科研平台，建设千亩标准的供港蔬菜示范带。紧扣农产品精深加工业，紧扣乡村休闲旅游业，以永州植物园为核心，沿上大公路两旁开展旅游、采摘、餐饮等，打造永州“后花园”。</w:t>
      </w:r>
    </w:p>
    <w:p>
      <w:pPr>
        <w:pStyle w:val="10"/>
        <w:keepNext w:val="0"/>
        <w:keepLines w:val="0"/>
        <w:pageBreakBefore w:val="0"/>
        <w:widowControl w:val="0"/>
        <w:numPr>
          <w:ilvl w:val="0"/>
          <w:numId w:val="4"/>
        </w:numPr>
        <w:kinsoku/>
        <w:wordWrap/>
        <w:overflowPunct/>
        <w:topLinePunct w:val="0"/>
        <w:bidi w:val="0"/>
        <w:snapToGrid/>
        <w:spacing w:line="600" w:lineRule="exact"/>
        <w:ind w:left="0" w:leftChars="0" w:firstLine="640" w:firstLineChars="200"/>
        <w:jc w:val="left"/>
        <w:textAlignment w:val="auto"/>
        <w:rPr>
          <w:rFonts w:hint="eastAsia" w:ascii="Times New Roman" w:hAnsi="Times New Roman" w:eastAsia="仿宋_GB2312"/>
          <w:b/>
          <w:bCs/>
          <w:sz w:val="32"/>
          <w:szCs w:val="32"/>
          <w:lang w:eastAsia="zh-CN"/>
        </w:rPr>
      </w:pPr>
      <w:r>
        <w:rPr>
          <w:rFonts w:hint="eastAsia" w:ascii="Times New Roman" w:hAnsi="Times New Roman" w:eastAsia="仿宋_GB2312"/>
          <w:b/>
          <w:bCs/>
          <w:sz w:val="32"/>
          <w:szCs w:val="32"/>
        </w:rPr>
        <w:t>从运行成本、管理效率、履职效能、社会效应、可持续发展能力和服务对象满意度等方面，衡量部门</w:t>
      </w:r>
      <w:r>
        <w:rPr>
          <w:rFonts w:hint="eastAsia" w:ascii="Times New Roman" w:hAnsi="Times New Roman" w:eastAsia="仿宋_GB2312"/>
          <w:b/>
          <w:bCs/>
          <w:sz w:val="32"/>
          <w:szCs w:val="32"/>
          <w:lang w:eastAsia="zh-CN"/>
        </w:rPr>
        <w:t>湖南永州国家农业科技园区管理委员会</w:t>
      </w:r>
      <w:r>
        <w:rPr>
          <w:rFonts w:hint="eastAsia" w:ascii="Times New Roman" w:hAnsi="Times New Roman" w:eastAsia="仿宋_GB2312"/>
          <w:b/>
          <w:bCs/>
          <w:sz w:val="32"/>
          <w:szCs w:val="32"/>
        </w:rPr>
        <w:t>整体及核心业务实施效果</w:t>
      </w:r>
      <w:r>
        <w:rPr>
          <w:rFonts w:hint="eastAsia" w:ascii="Times New Roman" w:hAnsi="Times New Roman" w:eastAsia="仿宋_GB2312"/>
          <w:b/>
          <w:bCs/>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320" w:firstLineChars="100"/>
        <w:jc w:val="left"/>
        <w:textAlignment w:val="auto"/>
        <w:rPr>
          <w:rFonts w:hint="eastAsia" w:ascii="Times New Roman" w:hAnsi="Times New Roman" w:eastAsia="仿宋_GB2312"/>
          <w:b w:val="0"/>
          <w:bCs w:val="0"/>
          <w:sz w:val="32"/>
          <w:szCs w:val="32"/>
          <w:lang w:val="en-US" w:eastAsia="zh-CN"/>
        </w:rPr>
      </w:pPr>
      <w:r>
        <w:rPr>
          <w:rFonts w:hint="eastAsia" w:ascii="Times New Roman" w:hAnsi="Times New Roman" w:eastAsia="仿宋_GB2312"/>
          <w:b/>
          <w:bCs/>
          <w:sz w:val="32"/>
          <w:szCs w:val="32"/>
          <w:lang w:val="en-US" w:eastAsia="zh-CN"/>
        </w:rPr>
        <w:t xml:space="preserve">  </w:t>
      </w:r>
      <w:r>
        <w:rPr>
          <w:rFonts w:hint="eastAsia" w:ascii="Times New Roman" w:hAnsi="Times New Roman" w:eastAsia="仿宋_GB2312"/>
          <w:b w:val="0"/>
          <w:bCs w:val="0"/>
          <w:sz w:val="32"/>
          <w:szCs w:val="32"/>
          <w:lang w:val="en-US" w:eastAsia="zh-CN"/>
        </w:rPr>
        <w:t>运行成本：湖南永州国家农业科技园区管理委员会在职人员控制率</w:t>
      </w:r>
      <w:r>
        <w:rPr>
          <w:rFonts w:hint="eastAsia" w:ascii="Times New Roman" w:hAnsi="Times New Roman" w:eastAsia="仿宋_GB2312"/>
          <w:b w:val="0"/>
          <w:bCs w:val="0"/>
          <w:sz w:val="32"/>
          <w:szCs w:val="32"/>
          <w:highlight w:val="none"/>
          <w:lang w:val="en-US" w:eastAsia="zh-CN"/>
        </w:rPr>
        <w:t>63.79%</w:t>
      </w:r>
      <w:r>
        <w:rPr>
          <w:rFonts w:hint="eastAsia" w:ascii="Times New Roman" w:hAnsi="Times New Roman" w:eastAsia="仿宋_GB2312"/>
          <w:b w:val="0"/>
          <w:bCs w:val="0"/>
          <w:sz w:val="32"/>
          <w:szCs w:val="32"/>
          <w:lang w:val="en-US" w:eastAsia="zh-CN"/>
        </w:rPr>
        <w:t>，部门预算完成率100%，公用经费控制率100%，“三公经费”控制率100%，运行成本控制较好。</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val="0"/>
          <w:bCs w:val="0"/>
          <w:sz w:val="32"/>
          <w:szCs w:val="32"/>
          <w:lang w:val="en-US" w:eastAsia="zh-CN"/>
        </w:rPr>
      </w:pPr>
      <w:r>
        <w:rPr>
          <w:rFonts w:hint="eastAsia" w:ascii="Times New Roman" w:hAnsi="Times New Roman" w:eastAsia="仿宋_GB2312"/>
          <w:b w:val="0"/>
          <w:bCs w:val="0"/>
          <w:sz w:val="32"/>
          <w:szCs w:val="32"/>
          <w:lang w:val="en-US" w:eastAsia="zh-CN"/>
        </w:rPr>
        <w:t>管理效率：湖南永州国家农业科技园区管理委员会内部管理制度基本健全，资金使用基本合规，预决算公开及时，基础信息完善，资产管理基本有效，部门管理效率较高。</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val="0"/>
          <w:bCs w:val="0"/>
          <w:color w:val="auto"/>
          <w:sz w:val="32"/>
          <w:szCs w:val="32"/>
          <w:lang w:val="en-US" w:eastAsia="zh-CN"/>
        </w:rPr>
      </w:pPr>
      <w:r>
        <w:rPr>
          <w:rFonts w:hint="eastAsia" w:ascii="Times New Roman" w:hAnsi="Times New Roman" w:eastAsia="仿宋_GB2312"/>
          <w:b w:val="0"/>
          <w:bCs w:val="0"/>
          <w:color w:val="auto"/>
          <w:sz w:val="32"/>
          <w:szCs w:val="32"/>
          <w:lang w:val="en-US" w:eastAsia="zh-CN"/>
        </w:rPr>
        <w:t>履职效能：永州国家农业科技园区以习近平新时代中国特色社会主义思想为指导，深入贯彻落实市委市政府决策部署，统筹做好经济发展、疫情防控、安全生产工作，全力办好发展经济这个最大实事，全年园区企业生产提速明显，企业效益持续改善，主要经济指标增速稳定，运行态势总体稳中向好，为加快建设“三区两城”，着力构建“一核两轴三圈”区域经济格局，推动全市高质量发展贡献园区力量，部门履职效能明显。</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val="0"/>
          <w:bCs w:val="0"/>
          <w:color w:val="auto"/>
          <w:sz w:val="32"/>
          <w:szCs w:val="32"/>
          <w:lang w:val="en-US" w:eastAsia="zh-CN"/>
        </w:rPr>
      </w:pPr>
      <w:r>
        <w:rPr>
          <w:rFonts w:hint="eastAsia" w:ascii="Times New Roman" w:hAnsi="Times New Roman" w:eastAsia="仿宋_GB2312"/>
          <w:b w:val="0"/>
          <w:bCs w:val="0"/>
          <w:color w:val="auto"/>
          <w:sz w:val="32"/>
          <w:szCs w:val="32"/>
          <w:lang w:val="en-US" w:eastAsia="zh-CN"/>
        </w:rPr>
        <w:t>社会效应：切实发挥好引领现代农业、促进科技成果转化、培育发展新动能的“加速器”和“孵化器”作用。今年园区永州植物种苗工程中心、永州职业技术学院莫志军教授攻克“虎爪姜脱毒快繁技术研究”技术，成功解决了虎爪姜不能在同一块土地上连续种植的问题。目前该技术已在双牌试种推广。在永州绿生源农业科技有限公司柑橘基地首次试点开展无人机集中喷洒作业，喷洒面积达300余亩。该项技术，不仅降低了农户的人力和资金投入，还可以降低农药使用量，从源头上减少农药对环境的污染。</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val="0"/>
          <w:bCs w:val="0"/>
          <w:color w:val="auto"/>
          <w:sz w:val="32"/>
          <w:szCs w:val="32"/>
          <w:lang w:val="en-US" w:eastAsia="zh-CN"/>
        </w:rPr>
      </w:pPr>
      <w:r>
        <w:rPr>
          <w:rFonts w:hint="eastAsia" w:ascii="Times New Roman" w:hAnsi="Times New Roman" w:eastAsia="仿宋_GB2312"/>
          <w:b w:val="0"/>
          <w:bCs w:val="0"/>
          <w:color w:val="auto"/>
          <w:sz w:val="32"/>
          <w:szCs w:val="32"/>
          <w:lang w:val="en-US" w:eastAsia="zh-CN"/>
        </w:rPr>
        <w:t>可持续发展能力：一是依托现有产业基础，延伸拉长项目产业链，谋求下游产业链项目建设，实现招商引资和项目发展的有机结合。二是紧扣农产品精深加工业，实施园区的农产品初加工提升、精深加工延链、加工物流园区建设等工程。三是紧扣乡村休闲旅游业，在永州国家植物园为核心，沿上大公路两旁大力发展观光旅游、休闲采摘、餐饮经济等，打造中心城区“后花园”。重点借助新田美丽园林有限公司投资1800万元，建设好占地约300亩的永州农科园樱桃李产业链项目；引进湖南一心团膳公司，推动市国投公司、市农高科公司合作入股，拟投资5000万元利用园区标准厂房整体建设永州之野预制菜产业园。</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default" w:ascii="Times New Roman" w:hAnsi="Times New Roman" w:eastAsia="仿宋_GB2312"/>
          <w:b/>
          <w:bCs/>
          <w:sz w:val="32"/>
          <w:szCs w:val="32"/>
          <w:lang w:val="en-US" w:eastAsia="zh-CN"/>
        </w:rPr>
      </w:pPr>
      <w:r>
        <w:rPr>
          <w:rFonts w:hint="eastAsia" w:ascii="Times New Roman" w:hAnsi="Times New Roman" w:eastAsia="仿宋_GB2312"/>
          <w:b w:val="0"/>
          <w:bCs w:val="0"/>
          <w:sz w:val="32"/>
          <w:szCs w:val="32"/>
          <w:lang w:val="en-US" w:eastAsia="zh-CN"/>
        </w:rPr>
        <w:t>服务对象满意度：一是立足伊塘镇自然条件和资源禀赋，因地制宜鼓励村民发展特色苗木产业，逐步形成了苗木花卉、水果等主导产业，并规划将农业资源与乡村旅游有效结合，实现种、产、销、观光一体化，助推乡村振兴战略走深走实。二是联合市城管执法局驻新田县三井镇谈文溪驻村工作队，先后筹集35万余元为该村群众办实事：积极发展支柱产业烤烟，创建特色种养产业园，实施村道路硬化亮化，带动村民就业，极大增强了广大村民的获得感和幸福感，实地调查服务对象满意度95%。</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bCs/>
          <w:sz w:val="32"/>
          <w:szCs w:val="32"/>
          <w:lang w:eastAsia="zh-CN"/>
        </w:rPr>
      </w:pPr>
      <w:r>
        <w:rPr>
          <w:rFonts w:hint="eastAsia" w:ascii="Times New Roman" w:hAnsi="Times New Roman" w:eastAsia="仿宋_GB2312"/>
          <w:b/>
          <w:bCs/>
          <w:sz w:val="32"/>
          <w:szCs w:val="32"/>
          <w:lang w:eastAsia="zh-CN"/>
        </w:rPr>
        <w:t>一、</w:t>
      </w:r>
      <w:r>
        <w:rPr>
          <w:rFonts w:hint="eastAsia" w:ascii="Times New Roman" w:hAnsi="Times New Roman" w:eastAsia="仿宋_GB2312"/>
          <w:b/>
          <w:bCs/>
          <w:sz w:val="32"/>
          <w:szCs w:val="32"/>
        </w:rPr>
        <w:t>从预算和预算绩效管理，部门履职效能，资金分配、使用和管理，资产和财务管理、政府采购等方面归纳存在的问题</w:t>
      </w:r>
      <w:r>
        <w:rPr>
          <w:rFonts w:hint="eastAsia" w:ascii="Times New Roman" w:hAnsi="Times New Roman" w:eastAsia="仿宋_GB2312"/>
          <w:b/>
          <w:bCs/>
          <w:sz w:val="32"/>
          <w:szCs w:val="32"/>
          <w:lang w:eastAsia="zh-CN"/>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textAlignment w:val="center"/>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1、预算管理制度不够完善，年初预算不够精细，尚未建立规范的预算制度和标准化管理体系。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jc w:val="both"/>
        <w:textAlignment w:val="center"/>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2、内控制度需进一步完善，随着资金管理改革的进一步推进，我单位内部机构进行了相应的优化，建立健全了财务管理制度、费用报销规程等制度，但仍需进一步强化财务约束监督体制。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jc w:val="both"/>
        <w:textAlignment w:val="center"/>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3、预算编制不够明确和细化，预算编制的合理性需要提高，预算执行力度还要进一步加强。资金使用效益有待进一步提高，绩效目标设立不够明确、细化和量化。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jc w:val="both"/>
        <w:textAlignment w:val="center"/>
        <w:rPr>
          <w:rFonts w:hint="default"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4、基本能按照当年的预算使用各类资金。但有时根据上级或政府临时工作安排，增加不可预见的临时性工作任务，需追加预算，产生预算与实际执行的存在一定的差距。</w:t>
      </w:r>
    </w:p>
    <w:p>
      <w:pPr>
        <w:pStyle w:val="10"/>
        <w:keepNext w:val="0"/>
        <w:keepLines w:val="0"/>
        <w:pageBreakBefore w:val="0"/>
        <w:widowControl w:val="0"/>
        <w:numPr>
          <w:ilvl w:val="0"/>
          <w:numId w:val="5"/>
        </w:numPr>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b/>
          <w:bCs/>
          <w:sz w:val="32"/>
          <w:szCs w:val="32"/>
        </w:rPr>
      </w:pPr>
      <w:r>
        <w:rPr>
          <w:rFonts w:hint="eastAsia" w:ascii="Times New Roman" w:hAnsi="Times New Roman" w:eastAsia="仿宋_GB2312"/>
          <w:b/>
          <w:bCs/>
          <w:sz w:val="32"/>
          <w:szCs w:val="32"/>
        </w:rPr>
        <w:t>反映各种预算支出执行偏离绩效目标的情况，并分析其原因。</w:t>
      </w:r>
    </w:p>
    <w:p>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1、有绩效目标，但缺少有效的绩效计划来支持前者的实现，没有切实可行的绩效计划和资源计划的支撑，绩效目标是难以实现的，很容易形成工作与目标的脱节。</w:t>
      </w:r>
    </w:p>
    <w:p>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2、预算编制的口径与实际执行出现误差。按照现行的预算编制原则，人员经费和日常公用经费都是按照上年度十二月份的工资表反映的人数安排，而实际执行中单位工作人员往往有变动或流动。</w:t>
      </w:r>
    </w:p>
    <w:p>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3、预算编制的分类和实行执行出现脱节。预算编制的功能分类与经济分类不够细化，而实际支出中的情况更加多元化和明细化，出现了分类不一致的情况。</w:t>
      </w:r>
    </w:p>
    <w:p>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cs="黑体"/>
          <w:b w:val="0"/>
          <w:bCs w:val="0"/>
          <w:color w:val="000000"/>
          <w:kern w:val="0"/>
          <w:sz w:val="32"/>
          <w:szCs w:val="32"/>
          <w:lang w:val="en-US" w:eastAsia="zh-CN" w:bidi="ar-SA"/>
        </w:rPr>
      </w:pPr>
      <w:r>
        <w:rPr>
          <w:rFonts w:hint="eastAsia" w:ascii="Times New Roman" w:hAnsi="Times New Roman" w:eastAsia="仿宋_GB2312" w:cs="黑体"/>
          <w:b w:val="0"/>
          <w:bCs w:val="0"/>
          <w:color w:val="000000"/>
          <w:kern w:val="0"/>
          <w:sz w:val="32"/>
          <w:szCs w:val="32"/>
          <w:lang w:val="en-US" w:eastAsia="zh-CN" w:bidi="ar-SA"/>
        </w:rPr>
        <w:t>4、部门整体支出不能很好的对比支出与成果，投入与产出效果，进而很难有针对性的发现问题，分析问题，提出解决方案。</w:t>
      </w:r>
    </w:p>
    <w:p>
      <w:pPr>
        <w:pStyle w:val="10"/>
        <w:keepNext w:val="0"/>
        <w:keepLines w:val="0"/>
        <w:pageBreakBefore w:val="0"/>
        <w:widowControl w:val="0"/>
        <w:numPr>
          <w:ilvl w:val="0"/>
          <w:numId w:val="0"/>
        </w:numPr>
        <w:kinsoku/>
        <w:wordWrap/>
        <w:overflowPunct/>
        <w:topLinePunct w:val="0"/>
        <w:bidi w:val="0"/>
        <w:snapToGrid/>
        <w:spacing w:line="600" w:lineRule="exact"/>
        <w:jc w:val="left"/>
        <w:textAlignment w:val="auto"/>
        <w:rPr>
          <w:rFonts w:hint="default" w:ascii="Times New Roman" w:hAnsi="Times New Roman" w:eastAsia="仿宋_GB2312"/>
          <w:b/>
          <w:bCs/>
          <w:sz w:val="32"/>
          <w:szCs w:val="32"/>
          <w:lang w:val="en-US" w:eastAsia="zh-CN"/>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both"/>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keepNext w:val="0"/>
        <w:keepLines w:val="0"/>
        <w:pageBreakBefore w:val="0"/>
        <w:widowControl/>
        <w:numPr>
          <w:ilvl w:val="0"/>
          <w:numId w:val="6"/>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财政拨款收入：指财政当年拨付的资金，主要包括一般公共预算财政拨款，政府性基金预算财政拨款，国有资本经营预算财政拨款。</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二、上级补助收入：指事业单位从主管部门和上级单位取得的非财政补助收入。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三、事业收入：指事业单位开展专业业务活动及辅助活动所取得的收入。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四、经营收入：指事业单位在专业业务活动及其辅助活动之外开展非独立核算经营活动取得的收入。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五、附属单位上缴收入：指事业单位附属独立核算单位按照有关规定上缴的收入。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六、其他收入：指除上述“财政拨款收入”、“事业收入”、“经营收入”等以外的收入。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七、基本支出：指为保障机构正常运转、完成日常工作任务而发生的各项支出，包括人员支出和公用支出。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八、项目支出：指在基本支出以外为完成相关行政任务和事业发展目标所发生的各项支出。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九、“三公”经费：指通过财政拨款资金安排的因公出国（境）费、公务用车购置及运行费和公务接待费支出。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十、机关运行经费：是指各部门的公用经费，包括办公及印刷费、邮电费、差旅费、会议费、福利费、日常维修费、专用材料及一般设备购置费、办公用房水电费、办公用房取暖费、办公用房物业管理费、公务用车运行维护费以及其他费用。</w:t>
      </w:r>
    </w:p>
    <w:p>
      <w:pPr>
        <w:pStyle w:val="10"/>
        <w:keepNext w:val="0"/>
        <w:keepLines w:val="0"/>
        <w:pageBreakBefore w:val="0"/>
        <w:widowControl w:val="0"/>
        <w:kinsoku/>
        <w:wordWrap/>
        <w:overflowPunct/>
        <w:topLinePunct w:val="0"/>
        <w:bidi w:val="0"/>
        <w:snapToGrid/>
        <w:spacing w:line="600" w:lineRule="exact"/>
        <w:ind w:firstLine="720" w:firstLineChars="200"/>
        <w:textAlignment w:val="auto"/>
        <w:rPr>
          <w:rFonts w:hint="eastAsia" w:ascii="Times New Roman" w:hAnsi="Times New Roman" w:eastAsia="仿宋_GB2312" w:cs="黑体"/>
          <w:b/>
          <w:bCs/>
          <w:color w:val="FF0000"/>
          <w:kern w:val="0"/>
          <w:sz w:val="36"/>
          <w:szCs w:val="36"/>
          <w:lang w:val="en-US" w:eastAsia="zh-CN" w:bidi="ar-SA"/>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C8BB46"/>
    <w:multiLevelType w:val="singleLevel"/>
    <w:tmpl w:val="95C8BB46"/>
    <w:lvl w:ilvl="0" w:tentative="0">
      <w:start w:val="4"/>
      <w:numFmt w:val="decimal"/>
      <w:suff w:val="nothing"/>
      <w:lvlText w:val="%1、"/>
      <w:lvlJc w:val="left"/>
    </w:lvl>
  </w:abstractNum>
  <w:abstractNum w:abstractNumId="1">
    <w:nsid w:val="A6285BFC"/>
    <w:multiLevelType w:val="singleLevel"/>
    <w:tmpl w:val="A6285BFC"/>
    <w:lvl w:ilvl="0" w:tentative="0">
      <w:start w:val="2"/>
      <w:numFmt w:val="chineseCounting"/>
      <w:suff w:val="nothing"/>
      <w:lvlText w:val="%1、"/>
      <w:lvlJc w:val="left"/>
      <w:rPr>
        <w:rFonts w:hint="eastAsia"/>
      </w:rPr>
    </w:lvl>
  </w:abstractNum>
  <w:abstractNum w:abstractNumId="2">
    <w:nsid w:val="C333F719"/>
    <w:multiLevelType w:val="singleLevel"/>
    <w:tmpl w:val="C333F719"/>
    <w:lvl w:ilvl="0" w:tentative="0">
      <w:start w:val="1"/>
      <w:numFmt w:val="chineseCounting"/>
      <w:suff w:val="nothing"/>
      <w:lvlText w:val="%1、"/>
      <w:lvlJc w:val="left"/>
      <w:rPr>
        <w:rFonts w:hint="eastAsia"/>
      </w:rPr>
    </w:lvl>
  </w:abstractNum>
  <w:abstractNum w:abstractNumId="3">
    <w:nsid w:val="D64472DD"/>
    <w:multiLevelType w:val="singleLevel"/>
    <w:tmpl w:val="D64472DD"/>
    <w:lvl w:ilvl="0" w:tentative="0">
      <w:start w:val="2"/>
      <w:numFmt w:val="chineseCounting"/>
      <w:suff w:val="nothing"/>
      <w:lvlText w:val="%1、"/>
      <w:lvlJc w:val="left"/>
      <w:rPr>
        <w:rFonts w:hint="eastAsia"/>
      </w:rPr>
    </w:lvl>
  </w:abstractNum>
  <w:abstractNum w:abstractNumId="4">
    <w:nsid w:val="D9E3DA24"/>
    <w:multiLevelType w:val="singleLevel"/>
    <w:tmpl w:val="D9E3DA24"/>
    <w:lvl w:ilvl="0" w:tentative="0">
      <w:start w:val="1"/>
      <w:numFmt w:val="chineseCounting"/>
      <w:suff w:val="nothing"/>
      <w:lvlText w:val="%1、"/>
      <w:lvlJc w:val="left"/>
      <w:rPr>
        <w:rFonts w:hint="eastAsia"/>
      </w:rPr>
    </w:lvl>
  </w:abstractNum>
  <w:abstractNum w:abstractNumId="5">
    <w:nsid w:val="EFB36017"/>
    <w:multiLevelType w:val="singleLevel"/>
    <w:tmpl w:val="EFB36017"/>
    <w:lvl w:ilvl="0" w:tentative="0">
      <w:start w:val="7"/>
      <w:numFmt w:val="chineseCounting"/>
      <w:suff w:val="nothing"/>
      <w:lvlText w:val="%1、"/>
      <w:lvlJc w:val="left"/>
      <w:rPr>
        <w:rFonts w:hint="eastAsia"/>
      </w:rPr>
    </w:lvl>
  </w:abstractNum>
  <w:num w:numId="1">
    <w:abstractNumId w:val="2"/>
  </w:num>
  <w:num w:numId="2">
    <w:abstractNumId w:val="0"/>
  </w:num>
  <w:num w:numId="3">
    <w:abstractNumId w:val="5"/>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RlZjY0MDk5MGI4NmI2ZjUyM2I2YWE1NThiZTRhMzk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C4D2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AE30B0"/>
    <w:rsid w:val="00B0453A"/>
    <w:rsid w:val="00B33BEA"/>
    <w:rsid w:val="00B57C9F"/>
    <w:rsid w:val="00B63572"/>
    <w:rsid w:val="00B845B3"/>
    <w:rsid w:val="00B85D8B"/>
    <w:rsid w:val="00BB4A40"/>
    <w:rsid w:val="00BC6907"/>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90600"/>
    <w:rsid w:val="00FB462F"/>
    <w:rsid w:val="00FE16FA"/>
    <w:rsid w:val="00FE328A"/>
    <w:rsid w:val="00FE6269"/>
    <w:rsid w:val="00FF5CD6"/>
    <w:rsid w:val="014D0D32"/>
    <w:rsid w:val="016B4222"/>
    <w:rsid w:val="01D14E19"/>
    <w:rsid w:val="021E2B1A"/>
    <w:rsid w:val="039721C2"/>
    <w:rsid w:val="0415162B"/>
    <w:rsid w:val="046B3C7F"/>
    <w:rsid w:val="047B04DC"/>
    <w:rsid w:val="0527611E"/>
    <w:rsid w:val="053F6FB9"/>
    <w:rsid w:val="057767A8"/>
    <w:rsid w:val="06582C46"/>
    <w:rsid w:val="06FB4332"/>
    <w:rsid w:val="0702703D"/>
    <w:rsid w:val="07D9423D"/>
    <w:rsid w:val="08A47272"/>
    <w:rsid w:val="08EA5FDB"/>
    <w:rsid w:val="094D044F"/>
    <w:rsid w:val="0BBA0B5B"/>
    <w:rsid w:val="0BEE7CFD"/>
    <w:rsid w:val="0C2B07E9"/>
    <w:rsid w:val="0C303605"/>
    <w:rsid w:val="0D5E229C"/>
    <w:rsid w:val="0D6F3D3F"/>
    <w:rsid w:val="0DE10621"/>
    <w:rsid w:val="0E63197E"/>
    <w:rsid w:val="0EDE1B25"/>
    <w:rsid w:val="0F2761EA"/>
    <w:rsid w:val="0F955725"/>
    <w:rsid w:val="11046F6E"/>
    <w:rsid w:val="117A291D"/>
    <w:rsid w:val="119105B0"/>
    <w:rsid w:val="11CD2416"/>
    <w:rsid w:val="11F170E7"/>
    <w:rsid w:val="124B5A0F"/>
    <w:rsid w:val="12721B37"/>
    <w:rsid w:val="130D37E5"/>
    <w:rsid w:val="13AE63CA"/>
    <w:rsid w:val="14CA7C83"/>
    <w:rsid w:val="15EE28A1"/>
    <w:rsid w:val="16B96B37"/>
    <w:rsid w:val="16FB7986"/>
    <w:rsid w:val="17680005"/>
    <w:rsid w:val="17D411F6"/>
    <w:rsid w:val="18AD22E9"/>
    <w:rsid w:val="19063790"/>
    <w:rsid w:val="19370ACC"/>
    <w:rsid w:val="19A76BC3"/>
    <w:rsid w:val="19E323B7"/>
    <w:rsid w:val="19FB22BA"/>
    <w:rsid w:val="1A0E3AB4"/>
    <w:rsid w:val="1A5D1977"/>
    <w:rsid w:val="1AC00FF2"/>
    <w:rsid w:val="1AE67F2F"/>
    <w:rsid w:val="1C2C0A88"/>
    <w:rsid w:val="1C2E5D6C"/>
    <w:rsid w:val="1CBB4733"/>
    <w:rsid w:val="1D181DBA"/>
    <w:rsid w:val="1D52488F"/>
    <w:rsid w:val="1D807E56"/>
    <w:rsid w:val="1E0D658A"/>
    <w:rsid w:val="1EA40C10"/>
    <w:rsid w:val="1ED61CF8"/>
    <w:rsid w:val="1EF12FAD"/>
    <w:rsid w:val="201252B8"/>
    <w:rsid w:val="20241235"/>
    <w:rsid w:val="209461D3"/>
    <w:rsid w:val="211C4400"/>
    <w:rsid w:val="216D5DDE"/>
    <w:rsid w:val="219A6D4B"/>
    <w:rsid w:val="21E1216B"/>
    <w:rsid w:val="221F634E"/>
    <w:rsid w:val="22B96607"/>
    <w:rsid w:val="22D12F02"/>
    <w:rsid w:val="230961F8"/>
    <w:rsid w:val="23721BD0"/>
    <w:rsid w:val="23752A5C"/>
    <w:rsid w:val="23CC4803"/>
    <w:rsid w:val="240375DF"/>
    <w:rsid w:val="245D1763"/>
    <w:rsid w:val="24ED56A6"/>
    <w:rsid w:val="25B032A3"/>
    <w:rsid w:val="263F5F38"/>
    <w:rsid w:val="26962912"/>
    <w:rsid w:val="27383643"/>
    <w:rsid w:val="283536C5"/>
    <w:rsid w:val="28D959F8"/>
    <w:rsid w:val="28EB5B77"/>
    <w:rsid w:val="298046CF"/>
    <w:rsid w:val="29F70417"/>
    <w:rsid w:val="2A4823D4"/>
    <w:rsid w:val="2B4C0B44"/>
    <w:rsid w:val="2C246FA3"/>
    <w:rsid w:val="2C2D46E2"/>
    <w:rsid w:val="2DA14B96"/>
    <w:rsid w:val="2DC44B3B"/>
    <w:rsid w:val="2DDC2106"/>
    <w:rsid w:val="2DF80644"/>
    <w:rsid w:val="2E642E06"/>
    <w:rsid w:val="2E9B6172"/>
    <w:rsid w:val="2EB656D8"/>
    <w:rsid w:val="2FDB53C0"/>
    <w:rsid w:val="300B16A2"/>
    <w:rsid w:val="310D1002"/>
    <w:rsid w:val="316710CA"/>
    <w:rsid w:val="319C292D"/>
    <w:rsid w:val="319E0088"/>
    <w:rsid w:val="329A01E8"/>
    <w:rsid w:val="332238F8"/>
    <w:rsid w:val="33263E15"/>
    <w:rsid w:val="33571934"/>
    <w:rsid w:val="3425795C"/>
    <w:rsid w:val="35086344"/>
    <w:rsid w:val="351E0FBF"/>
    <w:rsid w:val="355E591C"/>
    <w:rsid w:val="3629124F"/>
    <w:rsid w:val="370D41F6"/>
    <w:rsid w:val="39100AD4"/>
    <w:rsid w:val="3A263E74"/>
    <w:rsid w:val="3AA86B23"/>
    <w:rsid w:val="3AE74EF6"/>
    <w:rsid w:val="3B6870D6"/>
    <w:rsid w:val="3BC949FA"/>
    <w:rsid w:val="3BE64ED1"/>
    <w:rsid w:val="3CD14481"/>
    <w:rsid w:val="3CD830BD"/>
    <w:rsid w:val="3D3A734A"/>
    <w:rsid w:val="3D6D763F"/>
    <w:rsid w:val="3D7218CF"/>
    <w:rsid w:val="3D792D3C"/>
    <w:rsid w:val="3DBA6615"/>
    <w:rsid w:val="3DBB7565"/>
    <w:rsid w:val="3E445F84"/>
    <w:rsid w:val="3E693B97"/>
    <w:rsid w:val="3ED5122D"/>
    <w:rsid w:val="3ED862C8"/>
    <w:rsid w:val="40045B8B"/>
    <w:rsid w:val="40741DAD"/>
    <w:rsid w:val="41022C69"/>
    <w:rsid w:val="412A53EC"/>
    <w:rsid w:val="4131712D"/>
    <w:rsid w:val="41DB1E56"/>
    <w:rsid w:val="42BA5A10"/>
    <w:rsid w:val="432171B5"/>
    <w:rsid w:val="442C432A"/>
    <w:rsid w:val="442D034D"/>
    <w:rsid w:val="44A67F3D"/>
    <w:rsid w:val="44B81903"/>
    <w:rsid w:val="44C35D29"/>
    <w:rsid w:val="44CA2F7C"/>
    <w:rsid w:val="45101210"/>
    <w:rsid w:val="452A3695"/>
    <w:rsid w:val="45521829"/>
    <w:rsid w:val="459A0A53"/>
    <w:rsid w:val="47341A6F"/>
    <w:rsid w:val="47AC6CE9"/>
    <w:rsid w:val="47FA1658"/>
    <w:rsid w:val="484A1441"/>
    <w:rsid w:val="486735D3"/>
    <w:rsid w:val="488B2575"/>
    <w:rsid w:val="498B7EF7"/>
    <w:rsid w:val="49A47505"/>
    <w:rsid w:val="49BE748D"/>
    <w:rsid w:val="4A001A12"/>
    <w:rsid w:val="4A293CE6"/>
    <w:rsid w:val="4A441248"/>
    <w:rsid w:val="4A985B1A"/>
    <w:rsid w:val="4AB8125D"/>
    <w:rsid w:val="4B02564D"/>
    <w:rsid w:val="4B0829F8"/>
    <w:rsid w:val="4B183DBB"/>
    <w:rsid w:val="4C6B2775"/>
    <w:rsid w:val="4C8E7692"/>
    <w:rsid w:val="4D106251"/>
    <w:rsid w:val="4DAC2848"/>
    <w:rsid w:val="4DD64600"/>
    <w:rsid w:val="4DDF482E"/>
    <w:rsid w:val="4E280705"/>
    <w:rsid w:val="4E7A2C6B"/>
    <w:rsid w:val="4EFB5B9F"/>
    <w:rsid w:val="4FA57CEC"/>
    <w:rsid w:val="500656EA"/>
    <w:rsid w:val="501C1D7E"/>
    <w:rsid w:val="503C1682"/>
    <w:rsid w:val="506E05E5"/>
    <w:rsid w:val="5146445B"/>
    <w:rsid w:val="5156444F"/>
    <w:rsid w:val="517D5BC8"/>
    <w:rsid w:val="52374280"/>
    <w:rsid w:val="524349D3"/>
    <w:rsid w:val="52846125"/>
    <w:rsid w:val="52CB6777"/>
    <w:rsid w:val="52EE3FC6"/>
    <w:rsid w:val="53BF38EC"/>
    <w:rsid w:val="53EE6F62"/>
    <w:rsid w:val="553A18D4"/>
    <w:rsid w:val="55905CC8"/>
    <w:rsid w:val="55F84612"/>
    <w:rsid w:val="56180806"/>
    <w:rsid w:val="566C6855"/>
    <w:rsid w:val="569647B0"/>
    <w:rsid w:val="56D8104E"/>
    <w:rsid w:val="56F47F59"/>
    <w:rsid w:val="575831B2"/>
    <w:rsid w:val="5777D4F5"/>
    <w:rsid w:val="58877DD6"/>
    <w:rsid w:val="589570CB"/>
    <w:rsid w:val="58974BA4"/>
    <w:rsid w:val="58FA1E2F"/>
    <w:rsid w:val="5953554B"/>
    <w:rsid w:val="59E44CEE"/>
    <w:rsid w:val="59FD5A9E"/>
    <w:rsid w:val="5A114743"/>
    <w:rsid w:val="5B343997"/>
    <w:rsid w:val="5B6B05DE"/>
    <w:rsid w:val="5B73652B"/>
    <w:rsid w:val="5B8B5268"/>
    <w:rsid w:val="5BE75327"/>
    <w:rsid w:val="5BEC54B3"/>
    <w:rsid w:val="5C636723"/>
    <w:rsid w:val="5C6507D2"/>
    <w:rsid w:val="5C8F25FB"/>
    <w:rsid w:val="5CBC77F8"/>
    <w:rsid w:val="5CC51814"/>
    <w:rsid w:val="5D6B68F4"/>
    <w:rsid w:val="5D7B49F4"/>
    <w:rsid w:val="5D7E3A11"/>
    <w:rsid w:val="5DF23751"/>
    <w:rsid w:val="5E2B7EEF"/>
    <w:rsid w:val="5E3242D3"/>
    <w:rsid w:val="5EB26634"/>
    <w:rsid w:val="5EBD5B0D"/>
    <w:rsid w:val="5F4A0FD8"/>
    <w:rsid w:val="5FC6BB1E"/>
    <w:rsid w:val="5FF720F1"/>
    <w:rsid w:val="600049F1"/>
    <w:rsid w:val="60081223"/>
    <w:rsid w:val="607A1DA3"/>
    <w:rsid w:val="60C978B7"/>
    <w:rsid w:val="60CD22A0"/>
    <w:rsid w:val="617F517B"/>
    <w:rsid w:val="62206ADF"/>
    <w:rsid w:val="623103B6"/>
    <w:rsid w:val="634C64F6"/>
    <w:rsid w:val="63533DF7"/>
    <w:rsid w:val="636B5105"/>
    <w:rsid w:val="63A21509"/>
    <w:rsid w:val="648F0398"/>
    <w:rsid w:val="64B05B96"/>
    <w:rsid w:val="64BA585E"/>
    <w:rsid w:val="65827DC9"/>
    <w:rsid w:val="65841289"/>
    <w:rsid w:val="65B04F76"/>
    <w:rsid w:val="660D7426"/>
    <w:rsid w:val="6697044A"/>
    <w:rsid w:val="66A933C3"/>
    <w:rsid w:val="66B35D41"/>
    <w:rsid w:val="66B91222"/>
    <w:rsid w:val="671319B0"/>
    <w:rsid w:val="67A12AC3"/>
    <w:rsid w:val="67C5431E"/>
    <w:rsid w:val="67C92F50"/>
    <w:rsid w:val="67F178E9"/>
    <w:rsid w:val="68B03FED"/>
    <w:rsid w:val="68B978AA"/>
    <w:rsid w:val="68D02FD0"/>
    <w:rsid w:val="69375848"/>
    <w:rsid w:val="693C0768"/>
    <w:rsid w:val="6A1330E9"/>
    <w:rsid w:val="6A874AF0"/>
    <w:rsid w:val="6B882FFF"/>
    <w:rsid w:val="6B8920AC"/>
    <w:rsid w:val="6B9B71D6"/>
    <w:rsid w:val="6BDB560B"/>
    <w:rsid w:val="6C063A21"/>
    <w:rsid w:val="6C1D081F"/>
    <w:rsid w:val="6C4C6F14"/>
    <w:rsid w:val="6C5D4B13"/>
    <w:rsid w:val="6C7C0DB6"/>
    <w:rsid w:val="6C7D78FE"/>
    <w:rsid w:val="6CAD6B64"/>
    <w:rsid w:val="6CFF48CF"/>
    <w:rsid w:val="6D0050A9"/>
    <w:rsid w:val="6D10088A"/>
    <w:rsid w:val="6D7F50C8"/>
    <w:rsid w:val="6DA15F5C"/>
    <w:rsid w:val="6DB15765"/>
    <w:rsid w:val="6E212692"/>
    <w:rsid w:val="6F7B69AB"/>
    <w:rsid w:val="71931FAF"/>
    <w:rsid w:val="72404862"/>
    <w:rsid w:val="7378714A"/>
    <w:rsid w:val="737D59BA"/>
    <w:rsid w:val="73A055B1"/>
    <w:rsid w:val="746C0AE1"/>
    <w:rsid w:val="74DD43BC"/>
    <w:rsid w:val="74F1701E"/>
    <w:rsid w:val="76417D06"/>
    <w:rsid w:val="77040325"/>
    <w:rsid w:val="773329B9"/>
    <w:rsid w:val="77C37683"/>
    <w:rsid w:val="79295E21"/>
    <w:rsid w:val="796B01E8"/>
    <w:rsid w:val="79FF515B"/>
    <w:rsid w:val="7A0A6111"/>
    <w:rsid w:val="7A0C7343"/>
    <w:rsid w:val="7A12718D"/>
    <w:rsid w:val="7A2A1C30"/>
    <w:rsid w:val="7A6301DE"/>
    <w:rsid w:val="7A6D731B"/>
    <w:rsid w:val="7ABE59DD"/>
    <w:rsid w:val="7B275BDA"/>
    <w:rsid w:val="7B385C4D"/>
    <w:rsid w:val="7B881C93"/>
    <w:rsid w:val="7B8A7BED"/>
    <w:rsid w:val="7BE129E3"/>
    <w:rsid w:val="7C6A0C2B"/>
    <w:rsid w:val="7D0E2B49"/>
    <w:rsid w:val="7D9C68E5"/>
    <w:rsid w:val="7E9F11B4"/>
    <w:rsid w:val="7F1F7A17"/>
    <w:rsid w:val="7F9C5280"/>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 w:type="character" w:customStyle="1" w:styleId="13">
    <w:name w:val="font01"/>
    <w:basedOn w:val="7"/>
    <w:qFormat/>
    <w:uiPriority w:val="0"/>
    <w:rPr>
      <w:rFonts w:hint="eastAsia" w:ascii="宋体" w:hAnsi="宋体" w:eastAsia="宋体" w:cs="宋体"/>
      <w:color w:val="000000"/>
      <w:sz w:val="22"/>
      <w:szCs w:val="22"/>
      <w:u w:val="none"/>
    </w:rPr>
  </w:style>
  <w:style w:type="character" w:customStyle="1" w:styleId="14">
    <w:name w:val="font21"/>
    <w:basedOn w:val="7"/>
    <w:qFormat/>
    <w:uiPriority w:val="0"/>
    <w:rPr>
      <w:rFonts w:hint="eastAsia" w:ascii="宋体" w:hAnsi="宋体" w:eastAsia="宋体" w:cs="宋体"/>
      <w:color w:val="000000"/>
      <w:sz w:val="24"/>
      <w:szCs w:val="24"/>
      <w:u w:val="none"/>
    </w:rPr>
  </w:style>
  <w:style w:type="character" w:customStyle="1" w:styleId="15">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11</TotalTime>
  <ScaleCrop>false</ScaleCrop>
  <LinksUpToDate>false</LinksUpToDate>
  <CharactersWithSpaces>9008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Administrator</cp:lastModifiedBy>
  <cp:lastPrinted>2023-08-15T09:28:00Z</cp:lastPrinted>
  <dcterms:modified xsi:type="dcterms:W3CDTF">2023-09-25T03:12:52Z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39B453BBF4D940FA9EAAB88F97720180_12</vt:lpwstr>
  </property>
</Properties>
</file>