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jc w:val="center"/>
        <w:rPr>
          <w:sz w:val="56"/>
          <w:szCs w:val="56"/>
        </w:rPr>
      </w:pPr>
    </w:p>
    <w:p>
      <w:pPr>
        <w:pStyle w:val="13"/>
        <w:jc w:val="center"/>
        <w:rPr>
          <w:sz w:val="56"/>
          <w:szCs w:val="56"/>
        </w:rPr>
      </w:pPr>
    </w:p>
    <w:p>
      <w:pPr>
        <w:pStyle w:val="13"/>
        <w:jc w:val="center"/>
        <w:rPr>
          <w:sz w:val="84"/>
          <w:szCs w:val="84"/>
        </w:rPr>
      </w:pPr>
    </w:p>
    <w:p>
      <w:pPr>
        <w:pStyle w:val="13"/>
        <w:jc w:val="center"/>
        <w:rPr>
          <w:sz w:val="84"/>
          <w:szCs w:val="84"/>
        </w:rPr>
      </w:pP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3</w:t>
      </w:r>
      <w:r>
        <w:rPr>
          <w:rFonts w:hint="eastAsia" w:ascii="方正小标宋_GBK" w:hAnsi="方正小标宋_GBK" w:eastAsia="方正小标宋_GBK" w:cs="方正小标宋_GBK"/>
          <w:sz w:val="84"/>
          <w:szCs w:val="84"/>
        </w:rPr>
        <w:t>年度</w:t>
      </w: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湖南永州国家农业科技园区管理委员会</w:t>
      </w:r>
      <w:r>
        <w:rPr>
          <w:rFonts w:hint="eastAsia" w:ascii="方正小标宋_GBK" w:hAnsi="方正小标宋_GBK" w:eastAsia="方正小标宋_GBK" w:cs="方正小标宋_GBK"/>
          <w:sz w:val="84"/>
          <w:szCs w:val="84"/>
        </w:rPr>
        <w:t>部门决算</w:t>
      </w:r>
    </w:p>
    <w:p>
      <w:pPr>
        <w:pStyle w:val="13"/>
        <w:jc w:val="center"/>
        <w:rPr>
          <w:rFonts w:hint="eastAsia" w:ascii="方正小标宋_GBK" w:hAnsi="方正小标宋_GBK" w:eastAsia="方正小标宋_GBK" w:cs="方正小标宋_GBK"/>
          <w:sz w:val="56"/>
          <w:szCs w:val="56"/>
        </w:rPr>
      </w:pPr>
    </w:p>
    <w:p>
      <w:pPr>
        <w:pStyle w:val="13"/>
        <w:jc w:val="center"/>
        <w:rPr>
          <w:sz w:val="56"/>
          <w:szCs w:val="56"/>
        </w:rPr>
      </w:pPr>
    </w:p>
    <w:p>
      <w:pPr>
        <w:pStyle w:val="13"/>
        <w:jc w:val="center"/>
        <w:rPr>
          <w:sz w:val="56"/>
          <w:szCs w:val="56"/>
        </w:rPr>
      </w:pPr>
    </w:p>
    <w:p>
      <w:pPr>
        <w:pStyle w:val="13"/>
        <w:jc w:val="center"/>
        <w:rPr>
          <w:sz w:val="56"/>
          <w:szCs w:val="56"/>
        </w:rPr>
      </w:pPr>
    </w:p>
    <w:p>
      <w:pPr>
        <w:pStyle w:val="13"/>
        <w:jc w:val="center"/>
        <w:rPr>
          <w:sz w:val="32"/>
          <w:szCs w:val="32"/>
        </w:rPr>
      </w:pPr>
    </w:p>
    <w:p>
      <w:pPr>
        <w:pStyle w:val="13"/>
        <w:jc w:val="center"/>
        <w:rPr>
          <w:sz w:val="32"/>
          <w:szCs w:val="32"/>
        </w:rPr>
      </w:pPr>
    </w:p>
    <w:p>
      <w:pPr>
        <w:pStyle w:val="13"/>
        <w:jc w:val="center"/>
        <w:rPr>
          <w:sz w:val="32"/>
          <w:szCs w:val="32"/>
        </w:rPr>
      </w:pPr>
    </w:p>
    <w:p>
      <w:pPr>
        <w:pStyle w:val="13"/>
        <w:spacing w:line="500" w:lineRule="exact"/>
        <w:jc w:val="both"/>
        <w:rPr>
          <w:b/>
          <w:sz w:val="36"/>
          <w:szCs w:val="28"/>
        </w:rPr>
      </w:pPr>
    </w:p>
    <w:p>
      <w:pPr>
        <w:pStyle w:val="13"/>
        <w:spacing w:line="500" w:lineRule="exact"/>
        <w:jc w:val="center"/>
        <w:rPr>
          <w:b/>
          <w:sz w:val="36"/>
          <w:szCs w:val="28"/>
        </w:rPr>
      </w:pPr>
      <w:r>
        <w:rPr>
          <w:rFonts w:hint="eastAsia"/>
          <w:b/>
          <w:sz w:val="36"/>
          <w:szCs w:val="28"/>
        </w:rPr>
        <w:t>目录</w:t>
      </w:r>
    </w:p>
    <w:p>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hAnsi="黑体" w:cs="黑体"/>
          <w:b w:val="0"/>
          <w:bCs/>
          <w:color w:val="auto"/>
          <w:sz w:val="28"/>
          <w:szCs w:val="28"/>
          <w:highlight w:val="none"/>
          <w:lang w:val="en-US" w:eastAsia="zh-CN"/>
        </w:rPr>
        <w:t>湖南永州国家农业科技园区管理委员会</w:t>
      </w:r>
      <w:r>
        <w:rPr>
          <w:rFonts w:hint="eastAsia" w:ascii="黑体" w:hAnsi="黑体" w:eastAsia="黑体" w:cs="黑体"/>
          <w:b w:val="0"/>
          <w:bCs/>
          <w:sz w:val="28"/>
          <w:szCs w:val="28"/>
        </w:rPr>
        <w:t>概况</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pPr>
        <w:pStyle w:val="13"/>
        <w:spacing w:line="500" w:lineRule="exact"/>
        <w:rPr>
          <w:rFonts w:hint="eastAsia" w:ascii="黑体" w:hAnsi="黑体" w:eastAsia="黑体" w:cs="黑体"/>
          <w:b w:val="0"/>
          <w:bCs/>
          <w:sz w:val="28"/>
          <w:szCs w:val="28"/>
          <w:lang w:eastAsia="zh-CN"/>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r>
        <w:rPr>
          <w:rFonts w:hint="eastAsia" w:ascii="仿宋_GB2312" w:hAnsi="仿宋_GB2312" w:eastAsia="仿宋_GB2312" w:cs="仿宋_GB2312"/>
          <w:sz w:val="28"/>
          <w:szCs w:val="28"/>
          <w:lang w:eastAsia="zh-CN"/>
        </w:rPr>
        <w:t>（说明：</w:t>
      </w:r>
      <w:r>
        <w:rPr>
          <w:rFonts w:hint="eastAsia" w:ascii="仿宋_GB2312" w:hAnsi="仿宋_GB2312" w:eastAsia="仿宋_GB2312" w:cs="仿宋_GB2312"/>
          <w:sz w:val="28"/>
          <w:szCs w:val="28"/>
          <w:lang w:val="en-US" w:eastAsia="zh-CN"/>
        </w:rPr>
        <w:t>本套报表金额单位转换时可能存在尾数误差。</w:t>
      </w:r>
      <w:r>
        <w:rPr>
          <w:rFonts w:hint="eastAsia" w:ascii="仿宋_GB2312" w:hAnsi="仿宋_GB2312" w:eastAsia="仿宋_GB2312" w:cs="仿宋_GB2312"/>
          <w:sz w:val="28"/>
          <w:szCs w:val="28"/>
          <w:lang w:eastAsia="zh-CN"/>
        </w:rPr>
        <w:t>）</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w:t>
      </w:r>
      <w:r>
        <w:rPr>
          <w:rFonts w:hint="eastAsia" w:ascii="仿宋_GB2312" w:hAnsi="仿宋_GB2312" w:eastAsia="仿宋_GB2312" w:cs="仿宋_GB2312"/>
          <w:color w:val="000000"/>
          <w:kern w:val="0"/>
          <w:sz w:val="28"/>
          <w:szCs w:val="28"/>
          <w:lang w:eastAsia="zh-CN"/>
        </w:rPr>
        <w:t>“</w:t>
      </w:r>
      <w:r>
        <w:rPr>
          <w:rFonts w:hint="eastAsia" w:ascii="仿宋_GB2312" w:hAnsi="仿宋_GB2312" w:eastAsia="仿宋_GB2312" w:cs="仿宋_GB2312"/>
          <w:color w:val="000000"/>
          <w:kern w:val="0"/>
          <w:sz w:val="28"/>
          <w:szCs w:val="28"/>
        </w:rPr>
        <w:t>三公</w:t>
      </w:r>
      <w:r>
        <w:rPr>
          <w:rFonts w:hint="eastAsia" w:ascii="仿宋_GB2312" w:hAnsi="仿宋_GB2312" w:eastAsia="仿宋_GB2312" w:cs="仿宋_GB2312"/>
          <w:color w:val="000000"/>
          <w:kern w:val="0"/>
          <w:sz w:val="28"/>
          <w:szCs w:val="28"/>
          <w:lang w:eastAsia="zh-CN"/>
        </w:rPr>
        <w:t>”</w:t>
      </w:r>
      <w:r>
        <w:rPr>
          <w:rFonts w:hint="eastAsia" w:ascii="仿宋_GB2312" w:hAnsi="仿宋_GB2312" w:eastAsia="仿宋_GB2312" w:cs="仿宋_GB2312"/>
          <w:color w:val="000000"/>
          <w:kern w:val="0"/>
          <w:sz w:val="28"/>
          <w:szCs w:val="28"/>
        </w:rPr>
        <w:t>经费支出决算情况说明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十三、关于预算绩效情况的说明</w:t>
      </w:r>
    </w:p>
    <w:p>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pPr>
        <w:pStyle w:val="13"/>
        <w:spacing w:line="500" w:lineRule="exact"/>
        <w:rPr>
          <w:rFonts w:hint="default" w:ascii="黑体" w:hAnsi="黑体" w:eastAsia="黑体" w:cs="黑体"/>
          <w:b w:val="0"/>
          <w:bCs/>
          <w:sz w:val="28"/>
          <w:szCs w:val="28"/>
          <w:lang w:val="en-US" w:eastAsia="zh-CN"/>
        </w:rPr>
      </w:pPr>
      <w:r>
        <w:rPr>
          <w:rFonts w:hint="eastAsia" w:hAnsi="黑体" w:cs="黑体"/>
          <w:b w:val="0"/>
          <w:bCs/>
          <w:sz w:val="28"/>
          <w:szCs w:val="28"/>
          <w:lang w:val="en-US" w:eastAsia="zh-CN"/>
        </w:rPr>
        <w:t>第五部分 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湖南永州国家农业科技园区管理委员会</w:t>
      </w:r>
      <w:r>
        <w:rPr>
          <w:rFonts w:hint="eastAsia" w:ascii="方正小标宋_GBK" w:hAnsi="方正小标宋_GBK" w:eastAsia="方正小标宋_GBK" w:cs="方正小标宋_GBK"/>
          <w:sz w:val="84"/>
          <w:szCs w:val="84"/>
        </w:rPr>
        <w:t>概况</w:t>
      </w:r>
    </w:p>
    <w:p>
      <w:pPr>
        <w:jc w:val="center"/>
        <w:rPr>
          <w:rFonts w:hint="eastAsia" w:ascii="方正小标宋_GBK" w:hAnsi="方正小标宋_GBK" w:eastAsia="方正小标宋_GBK" w:cs="方正小标宋_GBK"/>
          <w:sz w:val="72"/>
          <w:szCs w:val="72"/>
        </w:rPr>
      </w:pPr>
    </w:p>
    <w:p>
      <w:pPr>
        <w:jc w:val="center"/>
        <w:rPr>
          <w:rFonts w:hint="eastAsia" w:ascii="方正小标宋_GBK" w:hAnsi="方正小标宋_GBK" w:eastAsia="方正小标宋_GBK" w:cs="方正小标宋_GBK"/>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4"/>
        <w:numPr>
          <w:ilvl w:val="0"/>
          <w:numId w:val="0"/>
        </w:numPr>
        <w:ind w:leftChars="0" w:firstLine="960" w:firstLineChars="300"/>
        <w:jc w:val="left"/>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一、</w:t>
      </w:r>
      <w:r>
        <w:rPr>
          <w:rFonts w:hint="eastAsia" w:ascii="黑体" w:hAnsi="黑体" w:eastAsia="黑体" w:cs="黑体"/>
          <w:b w:val="0"/>
          <w:bCs w:val="0"/>
          <w:sz w:val="32"/>
          <w:szCs w:val="32"/>
        </w:rPr>
        <w:t>部门职责</w:t>
      </w:r>
    </w:p>
    <w:p>
      <w:pPr>
        <w:pStyle w:val="14"/>
        <w:adjustRightInd w:val="0"/>
        <w:snapToGrid w:val="0"/>
        <w:spacing w:line="780" w:lineRule="exact"/>
        <w:ind w:left="0" w:leftChars="0" w:firstLine="640" w:firstLineChars="200"/>
        <w:rPr>
          <w:rFonts w:hint="eastAsia" w:ascii="黑体" w:hAnsi="黑体" w:eastAsia="黑体" w:cs="黑体"/>
          <w:b w:val="0"/>
          <w:bCs w:val="0"/>
          <w:sz w:val="32"/>
          <w:szCs w:val="32"/>
        </w:rPr>
      </w:pPr>
      <w:r>
        <w:rPr>
          <w:rFonts w:hint="eastAsia" w:ascii="仿宋_GB2312" w:hAnsi="仿宋" w:eastAsia="仿宋_GB2312" w:cs="仿宋_GB2312"/>
          <w:color w:val="000000"/>
          <w:kern w:val="0"/>
          <w:sz w:val="32"/>
          <w:szCs w:val="32"/>
        </w:rPr>
        <w:t>根据《关于湖南永州国家农业科技园区管理委员会的批复》（湘编办复字〔2015〕56号）和《中共永州市委常委办公会议纪要》（2016第6期）精神，本部门的主要工作职责是：</w:t>
      </w:r>
    </w:p>
    <w:p>
      <w:pPr>
        <w:pStyle w:val="14"/>
        <w:adjustRightInd w:val="0"/>
        <w:snapToGrid w:val="0"/>
        <w:spacing w:line="780" w:lineRule="exact"/>
        <w:ind w:firstLine="960" w:firstLineChars="300"/>
        <w:rPr>
          <w:rFonts w:hint="eastAsia" w:ascii="仿宋_GB2312" w:hAnsi="仿宋_GB2312" w:eastAsia="仿宋_GB2312" w:cs="仿宋_GB2312"/>
          <w:b w:val="0"/>
          <w:bCs/>
          <w:kern w:val="0"/>
          <w:sz w:val="32"/>
          <w:szCs w:val="32"/>
          <w:lang w:eastAsia="zh-CN"/>
        </w:rPr>
      </w:pPr>
      <w:r>
        <w:rPr>
          <w:rFonts w:hint="eastAsia" w:ascii="仿宋_GB2312" w:hAnsi="仿宋_GB2312" w:eastAsia="仿宋_GB2312" w:cs="仿宋_GB2312"/>
          <w:b w:val="0"/>
          <w:bCs/>
          <w:kern w:val="0"/>
          <w:sz w:val="32"/>
          <w:szCs w:val="32"/>
        </w:rPr>
        <w:t>（一）</w:t>
      </w:r>
      <w:r>
        <w:rPr>
          <w:rFonts w:hint="eastAsia" w:ascii="仿宋_GB2312" w:hAnsi="仿宋" w:eastAsia="仿宋_GB2312" w:cs="仿宋_GB2312"/>
          <w:color w:val="000000"/>
          <w:kern w:val="0"/>
          <w:sz w:val="32"/>
          <w:szCs w:val="32"/>
        </w:rPr>
        <w:t>负责国家、省有关农业科技园区发展的法律、法规和政策的贯彻实施,落实市委、市政府的重要决策和工作部署。</w:t>
      </w:r>
    </w:p>
    <w:p>
      <w:pPr>
        <w:pStyle w:val="14"/>
        <w:adjustRightInd w:val="0"/>
        <w:snapToGrid w:val="0"/>
        <w:spacing w:line="780" w:lineRule="exact"/>
        <w:ind w:left="0" w:leftChars="0" w:firstLine="960" w:firstLineChars="300"/>
        <w:rPr>
          <w:rFonts w:ascii="仿宋_GB2312" w:hAnsi="仿宋" w:eastAsia="仿宋_GB2312" w:cs="仿宋_GB2312"/>
          <w:color w:val="000000"/>
          <w:kern w:val="0"/>
          <w:sz w:val="32"/>
          <w:szCs w:val="32"/>
        </w:rPr>
      </w:pPr>
      <w:r>
        <w:rPr>
          <w:rFonts w:hint="eastAsia" w:ascii="仿宋_GB2312" w:hAnsi="仿宋_GB2312" w:eastAsia="仿宋_GB2312" w:cs="仿宋_GB2312"/>
          <w:b w:val="0"/>
          <w:bCs/>
          <w:kern w:val="0"/>
          <w:sz w:val="32"/>
          <w:szCs w:val="32"/>
        </w:rPr>
        <w:t>（二）</w:t>
      </w:r>
      <w:r>
        <w:rPr>
          <w:rFonts w:hint="eastAsia" w:ascii="仿宋_GB2312" w:hAnsi="仿宋" w:eastAsia="仿宋_GB2312" w:cs="仿宋_GB2312"/>
          <w:color w:val="000000"/>
          <w:kern w:val="0"/>
          <w:sz w:val="32"/>
          <w:szCs w:val="32"/>
        </w:rPr>
        <w:t>根据全市国民经济和社会发展规划、土地利用总体规划,负责编制园区中长期发展规划和年度工作计划,经批准后组织实施。</w:t>
      </w:r>
    </w:p>
    <w:p>
      <w:pPr>
        <w:pStyle w:val="14"/>
        <w:adjustRightInd w:val="0"/>
        <w:snapToGrid w:val="0"/>
        <w:spacing w:line="780" w:lineRule="exact"/>
        <w:ind w:firstLine="960" w:firstLineChars="300"/>
        <w:rPr>
          <w:rFonts w:ascii="仿宋_GB2312" w:hAnsi="仿宋" w:eastAsia="仿宋_GB2312" w:cs="仿宋_GB2312"/>
          <w:color w:val="000000"/>
          <w:kern w:val="0"/>
          <w:sz w:val="32"/>
          <w:szCs w:val="32"/>
        </w:rPr>
      </w:pPr>
      <w:r>
        <w:rPr>
          <w:rFonts w:hint="eastAsia" w:ascii="仿宋_GB2312" w:hAnsi="仿宋" w:eastAsia="仿宋_GB2312" w:cs="仿宋_GB2312"/>
          <w:color w:val="000000"/>
          <w:kern w:val="0"/>
          <w:sz w:val="32"/>
          <w:szCs w:val="32"/>
          <w:lang w:eastAsia="zh-CN"/>
        </w:rPr>
        <w:t>（三）</w:t>
      </w:r>
      <w:r>
        <w:rPr>
          <w:rFonts w:hint="eastAsia" w:ascii="仿宋_GB2312" w:hAnsi="仿宋" w:eastAsia="仿宋_GB2312" w:cs="仿宋_GB2312"/>
          <w:color w:val="000000"/>
          <w:kern w:val="0"/>
          <w:sz w:val="32"/>
          <w:szCs w:val="32"/>
        </w:rPr>
        <w:t>负责园区农业科技成果、先进实用技术的引进、示范创新和推广,推进优质农产品标准化和产业化建设。</w:t>
      </w:r>
    </w:p>
    <w:p>
      <w:pPr>
        <w:pStyle w:val="14"/>
        <w:adjustRightInd w:val="0"/>
        <w:snapToGrid w:val="0"/>
        <w:spacing w:line="780" w:lineRule="exact"/>
        <w:ind w:firstLine="960" w:firstLineChars="300"/>
        <w:rPr>
          <w:rFonts w:ascii="仿宋_GB2312" w:hAnsi="仿宋" w:eastAsia="仿宋_GB2312" w:cs="仿宋_GB2312"/>
          <w:color w:val="000000"/>
          <w:kern w:val="0"/>
          <w:sz w:val="32"/>
          <w:szCs w:val="32"/>
        </w:rPr>
      </w:pPr>
      <w:r>
        <w:rPr>
          <w:rFonts w:hint="eastAsia" w:ascii="仿宋_GB2312" w:hAnsi="仿宋" w:eastAsia="仿宋_GB2312" w:cs="仿宋_GB2312"/>
          <w:color w:val="000000"/>
          <w:kern w:val="0"/>
          <w:sz w:val="32"/>
          <w:szCs w:val="32"/>
          <w:lang w:eastAsia="zh-CN"/>
        </w:rPr>
        <w:t>（四）</w:t>
      </w:r>
      <w:r>
        <w:rPr>
          <w:rFonts w:hint="eastAsia" w:ascii="仿宋_GB2312" w:hAnsi="仿宋" w:eastAsia="仿宋_GB2312" w:cs="仿宋_GB2312"/>
          <w:color w:val="000000"/>
          <w:kern w:val="0"/>
          <w:sz w:val="32"/>
          <w:szCs w:val="32"/>
        </w:rPr>
        <w:t>负责组织园区各类科技项目申报、实施和农业高新技术企业的申报以及科技成果鉴定、验收、奖励。</w:t>
      </w:r>
    </w:p>
    <w:p>
      <w:pPr>
        <w:pStyle w:val="14"/>
        <w:adjustRightInd w:val="0"/>
        <w:snapToGrid w:val="0"/>
        <w:spacing w:line="780" w:lineRule="exact"/>
        <w:ind w:firstLine="960" w:firstLineChars="300"/>
        <w:rPr>
          <w:rFonts w:ascii="仿宋_GB2312" w:hAnsi="仿宋" w:eastAsia="仿宋_GB2312" w:cs="仿宋_GB2312"/>
          <w:color w:val="000000"/>
          <w:kern w:val="0"/>
          <w:sz w:val="32"/>
          <w:szCs w:val="32"/>
        </w:rPr>
      </w:pPr>
      <w:r>
        <w:rPr>
          <w:rFonts w:hint="eastAsia" w:ascii="仿宋_GB2312" w:hAnsi="仿宋" w:eastAsia="仿宋_GB2312" w:cs="仿宋_GB2312"/>
          <w:color w:val="000000"/>
          <w:kern w:val="0"/>
          <w:sz w:val="32"/>
          <w:szCs w:val="32"/>
          <w:lang w:eastAsia="zh-CN"/>
        </w:rPr>
        <w:t>（五）</w:t>
      </w:r>
      <w:r>
        <w:rPr>
          <w:rFonts w:hint="eastAsia" w:ascii="仿宋_GB2312" w:hAnsi="仿宋" w:eastAsia="仿宋_GB2312" w:cs="仿宋_GB2312"/>
          <w:color w:val="000000"/>
          <w:kern w:val="0"/>
          <w:sz w:val="32"/>
          <w:szCs w:val="32"/>
        </w:rPr>
        <w:t>负责园区基础设施规划、建设和管理。</w:t>
      </w:r>
    </w:p>
    <w:p>
      <w:pPr>
        <w:pStyle w:val="14"/>
        <w:adjustRightInd w:val="0"/>
        <w:snapToGrid w:val="0"/>
        <w:spacing w:line="780" w:lineRule="exact"/>
        <w:ind w:firstLine="960" w:firstLineChars="300"/>
        <w:rPr>
          <w:rFonts w:ascii="仿宋_GB2312" w:hAnsi="仿宋" w:eastAsia="仿宋_GB2312" w:cs="仿宋_GB2312"/>
          <w:color w:val="000000"/>
          <w:kern w:val="0"/>
          <w:sz w:val="32"/>
          <w:szCs w:val="32"/>
        </w:rPr>
      </w:pPr>
      <w:r>
        <w:rPr>
          <w:rFonts w:hint="eastAsia" w:ascii="仿宋_GB2312" w:hAnsi="仿宋" w:eastAsia="仿宋_GB2312" w:cs="仿宋_GB2312"/>
          <w:color w:val="000000"/>
          <w:kern w:val="0"/>
          <w:sz w:val="32"/>
          <w:szCs w:val="32"/>
          <w:lang w:eastAsia="zh-CN"/>
        </w:rPr>
        <w:t>（六）</w:t>
      </w:r>
      <w:r>
        <w:rPr>
          <w:rFonts w:hint="default" w:ascii="仿宋_GB2312" w:hAnsi="仿宋" w:eastAsia="仿宋_GB2312" w:cs="仿宋_GB2312"/>
          <w:color w:val="000000"/>
          <w:kern w:val="0"/>
          <w:sz w:val="32"/>
          <w:szCs w:val="32"/>
          <w:lang w:eastAsia="zh-CN"/>
        </w:rPr>
        <w:t>负责</w:t>
      </w:r>
      <w:r>
        <w:rPr>
          <w:rFonts w:hint="eastAsia" w:ascii="仿宋_GB2312" w:hAnsi="仿宋" w:eastAsia="仿宋_GB2312" w:cs="仿宋_GB2312"/>
          <w:color w:val="000000"/>
          <w:kern w:val="0"/>
          <w:sz w:val="32"/>
          <w:szCs w:val="32"/>
        </w:rPr>
        <w:t>园区建设融资和招商引资工作。</w:t>
      </w:r>
    </w:p>
    <w:p>
      <w:pPr>
        <w:pStyle w:val="14"/>
        <w:adjustRightInd w:val="0"/>
        <w:snapToGrid w:val="0"/>
        <w:spacing w:line="780" w:lineRule="exact"/>
        <w:ind w:firstLine="960" w:firstLineChars="300"/>
        <w:rPr>
          <w:rFonts w:ascii="仿宋_GB2312" w:hAnsi="仿宋" w:eastAsia="仿宋_GB2312" w:cs="仿宋_GB2312"/>
          <w:color w:val="000000"/>
          <w:kern w:val="0"/>
          <w:sz w:val="32"/>
          <w:szCs w:val="32"/>
        </w:rPr>
      </w:pPr>
      <w:r>
        <w:rPr>
          <w:rFonts w:hint="eastAsia" w:ascii="仿宋_GB2312" w:hAnsi="仿宋" w:eastAsia="仿宋_GB2312" w:cs="仿宋_GB2312"/>
          <w:color w:val="000000"/>
          <w:kern w:val="0"/>
          <w:sz w:val="32"/>
          <w:szCs w:val="32"/>
          <w:lang w:eastAsia="zh-CN"/>
        </w:rPr>
        <w:t>（七）</w:t>
      </w:r>
      <w:r>
        <w:rPr>
          <w:rFonts w:hint="eastAsia" w:ascii="仿宋_GB2312" w:hAnsi="仿宋" w:eastAsia="仿宋_GB2312" w:cs="仿宋_GB2312"/>
          <w:color w:val="000000"/>
          <w:kern w:val="0"/>
          <w:sz w:val="32"/>
          <w:szCs w:val="32"/>
        </w:rPr>
        <w:t>负责园区与各类科研机构(院校)开展合作交流,加强各类专业技术人才的引进、培训、培养工作。</w:t>
      </w:r>
    </w:p>
    <w:p>
      <w:pPr>
        <w:pStyle w:val="14"/>
        <w:adjustRightInd w:val="0"/>
        <w:snapToGrid w:val="0"/>
        <w:spacing w:line="780" w:lineRule="exact"/>
        <w:ind w:firstLine="960" w:firstLineChars="300"/>
        <w:rPr>
          <w:rFonts w:hint="eastAsia" w:ascii="仿宋_GB2312" w:hAnsi="仿宋_GB2312" w:eastAsia="楷体_GB2312" w:cs="仿宋_GB2312"/>
          <w:b w:val="0"/>
          <w:bCs/>
          <w:kern w:val="0"/>
          <w:sz w:val="32"/>
          <w:szCs w:val="32"/>
          <w:lang w:eastAsia="zh-CN"/>
        </w:rPr>
      </w:pPr>
      <w:r>
        <w:rPr>
          <w:rFonts w:hint="eastAsia" w:ascii="仿宋_GB2312" w:hAnsi="仿宋" w:eastAsia="仿宋_GB2312" w:cs="仿宋_GB2312"/>
          <w:color w:val="000000"/>
          <w:kern w:val="0"/>
          <w:sz w:val="32"/>
          <w:szCs w:val="32"/>
          <w:lang w:eastAsia="zh-CN"/>
        </w:rPr>
        <w:t>（八）</w:t>
      </w:r>
      <w:r>
        <w:rPr>
          <w:rFonts w:hint="default" w:ascii="仿宋_GB2312" w:hAnsi="仿宋" w:eastAsia="仿宋_GB2312" w:cs="仿宋_GB2312"/>
          <w:color w:val="000000"/>
          <w:kern w:val="0"/>
          <w:sz w:val="32"/>
          <w:szCs w:val="32"/>
          <w:lang w:eastAsia="zh-CN"/>
        </w:rPr>
        <w:t>负责</w:t>
      </w:r>
      <w:r>
        <w:rPr>
          <w:rFonts w:hint="eastAsia" w:ascii="仿宋_GB2312" w:hAnsi="仿宋" w:eastAsia="仿宋_GB2312" w:cs="仿宋_GB2312"/>
          <w:color w:val="000000"/>
          <w:kern w:val="0"/>
          <w:sz w:val="32"/>
          <w:szCs w:val="32"/>
        </w:rPr>
        <w:t>园区党务、群团、人事、人才、统计、审计、财务、国有资产管理、人力资源和社会保障、社会管理综合治理、安全生产监督、环境卫生等工作。</w:t>
      </w:r>
    </w:p>
    <w:p>
      <w:pPr>
        <w:widowControl/>
        <w:spacing w:line="600" w:lineRule="exact"/>
        <w:ind w:firstLine="960" w:firstLineChars="300"/>
        <w:rPr>
          <w:rFonts w:hint="eastAsia" w:ascii="黑体" w:hAnsi="黑体" w:eastAsia="黑体" w:cs="黑体"/>
          <w:b w:val="0"/>
          <w:bCs w:val="0"/>
          <w:kern w:val="0"/>
          <w:sz w:val="32"/>
          <w:szCs w:val="32"/>
        </w:rPr>
      </w:pPr>
      <w:r>
        <w:rPr>
          <w:rFonts w:hint="eastAsia" w:ascii="黑体" w:hAnsi="黑体" w:eastAsia="黑体" w:cs="黑体"/>
          <w:b w:val="0"/>
          <w:bCs w:val="0"/>
          <w:kern w:val="2"/>
          <w:sz w:val="32"/>
          <w:szCs w:val="32"/>
          <w:lang w:val="en-US" w:eastAsia="zh-CN" w:bidi="ar-SA"/>
        </w:rPr>
        <w:t>二、机构设置及决算单位构成</w:t>
      </w:r>
    </w:p>
    <w:p>
      <w:pPr>
        <w:widowControl/>
        <w:spacing w:line="600" w:lineRule="exact"/>
        <w:ind w:firstLine="964" w:firstLineChars="300"/>
        <w:rPr>
          <w:rFonts w:hint="eastAsia" w:ascii="仿宋_GB2312" w:hAnsi="仿宋" w:eastAsia="仿宋_GB2312" w:cs="仿宋_GB2312"/>
          <w:color w:val="000000"/>
          <w:kern w:val="0"/>
          <w:sz w:val="32"/>
          <w:szCs w:val="32"/>
          <w:lang w:val="en-US" w:eastAsia="zh-CN"/>
        </w:rPr>
      </w:pPr>
      <w:r>
        <w:rPr>
          <w:rFonts w:hint="eastAsia" w:ascii="楷体_GB2312" w:hAnsi="楷体_GB2312" w:eastAsia="楷体_GB2312" w:cs="楷体_GB2312"/>
          <w:b/>
          <w:bCs w:val="0"/>
          <w:kern w:val="0"/>
          <w:sz w:val="32"/>
          <w:szCs w:val="32"/>
        </w:rPr>
        <w:t>（一）内设机构设置。</w:t>
      </w:r>
      <w:r>
        <w:rPr>
          <w:rFonts w:hint="eastAsia" w:ascii="仿宋_GB2312" w:hAnsi="仿宋_GB2312" w:eastAsia="仿宋_GB2312" w:cs="仿宋_GB2312"/>
          <w:bCs/>
          <w:kern w:val="0"/>
          <w:sz w:val="32"/>
          <w:szCs w:val="32"/>
          <w:lang w:val="en-US" w:eastAsia="zh-CN"/>
        </w:rPr>
        <w:t>湖南永州国家农业科技园区管理委员会</w:t>
      </w:r>
      <w:r>
        <w:rPr>
          <w:rFonts w:hint="eastAsia" w:ascii="仿宋_GB2312" w:hAnsi="仿宋_GB2312" w:eastAsia="仿宋_GB2312" w:cs="仿宋_GB2312"/>
          <w:bCs/>
          <w:kern w:val="0"/>
          <w:sz w:val="32"/>
          <w:szCs w:val="32"/>
        </w:rPr>
        <w:t>内设机构包括：</w:t>
      </w:r>
      <w:r>
        <w:rPr>
          <w:rFonts w:hint="eastAsia" w:ascii="仿宋_GB2312" w:hAnsi="仿宋" w:eastAsia="仿宋_GB2312" w:cs="仿宋_GB2312"/>
          <w:color w:val="000000"/>
          <w:kern w:val="0"/>
          <w:sz w:val="32"/>
          <w:szCs w:val="32"/>
        </w:rPr>
        <w:t>党政办公室</w:t>
      </w:r>
      <w:r>
        <w:rPr>
          <w:rFonts w:hint="eastAsia" w:ascii="仿宋_GB2312" w:hAnsi="仿宋" w:eastAsia="仿宋_GB2312" w:cs="仿宋_GB2312"/>
          <w:color w:val="000000"/>
          <w:kern w:val="0"/>
          <w:sz w:val="32"/>
          <w:szCs w:val="32"/>
          <w:lang w:val="en-US" w:eastAsia="zh-CN"/>
        </w:rPr>
        <w:t>5人</w:t>
      </w:r>
      <w:r>
        <w:rPr>
          <w:rFonts w:hint="eastAsia" w:ascii="仿宋_GB2312" w:hAnsi="仿宋" w:eastAsia="仿宋_GB2312" w:cs="仿宋_GB2312"/>
          <w:color w:val="000000"/>
          <w:kern w:val="0"/>
          <w:sz w:val="32"/>
          <w:szCs w:val="32"/>
        </w:rPr>
        <w:t>（加挂审计局牌子）、农业科技局</w:t>
      </w:r>
      <w:r>
        <w:rPr>
          <w:rFonts w:hint="eastAsia" w:ascii="仿宋_GB2312" w:hAnsi="仿宋" w:eastAsia="仿宋_GB2312" w:cs="仿宋_GB2312"/>
          <w:color w:val="000000"/>
          <w:kern w:val="0"/>
          <w:sz w:val="32"/>
          <w:szCs w:val="32"/>
          <w:lang w:val="en-US" w:eastAsia="zh-CN"/>
        </w:rPr>
        <w:t>6人</w:t>
      </w:r>
      <w:r>
        <w:rPr>
          <w:rFonts w:hint="eastAsia" w:ascii="仿宋_GB2312" w:hAnsi="仿宋" w:eastAsia="仿宋_GB2312" w:cs="仿宋_GB2312"/>
          <w:color w:val="000000"/>
          <w:kern w:val="0"/>
          <w:sz w:val="32"/>
          <w:szCs w:val="32"/>
        </w:rPr>
        <w:t>（加挂林业局、水利局牌子）、招商合作局</w:t>
      </w:r>
      <w:r>
        <w:rPr>
          <w:rFonts w:hint="eastAsia" w:ascii="仿宋_GB2312" w:hAnsi="仿宋" w:eastAsia="仿宋_GB2312" w:cs="仿宋_GB2312"/>
          <w:color w:val="000000"/>
          <w:kern w:val="0"/>
          <w:sz w:val="32"/>
          <w:szCs w:val="32"/>
          <w:lang w:val="en-US" w:eastAsia="zh-CN"/>
        </w:rPr>
        <w:t>2人</w:t>
      </w:r>
      <w:r>
        <w:rPr>
          <w:rFonts w:hint="eastAsia" w:ascii="仿宋_GB2312" w:hAnsi="仿宋" w:eastAsia="仿宋_GB2312" w:cs="仿宋_GB2312"/>
          <w:color w:val="000000"/>
          <w:kern w:val="0"/>
          <w:sz w:val="32"/>
          <w:szCs w:val="32"/>
        </w:rPr>
        <w:t>、经济发展局</w:t>
      </w:r>
      <w:r>
        <w:rPr>
          <w:rFonts w:hint="eastAsia" w:ascii="仿宋_GB2312" w:hAnsi="仿宋" w:eastAsia="仿宋_GB2312" w:cs="仿宋_GB2312"/>
          <w:color w:val="000000"/>
          <w:kern w:val="0"/>
          <w:sz w:val="32"/>
          <w:szCs w:val="32"/>
          <w:lang w:val="en-US" w:eastAsia="zh-CN"/>
        </w:rPr>
        <w:t>2人</w:t>
      </w:r>
      <w:r>
        <w:rPr>
          <w:rFonts w:hint="eastAsia" w:ascii="仿宋_GB2312" w:hAnsi="仿宋" w:eastAsia="仿宋_GB2312" w:cs="仿宋_GB2312"/>
          <w:color w:val="000000"/>
          <w:kern w:val="0"/>
          <w:sz w:val="32"/>
          <w:szCs w:val="32"/>
        </w:rPr>
        <w:t>（加挂安全生产监督管理局牌子）、规划建设局</w:t>
      </w:r>
      <w:r>
        <w:rPr>
          <w:rFonts w:hint="eastAsia" w:ascii="仿宋_GB2312" w:hAnsi="仿宋" w:eastAsia="仿宋_GB2312" w:cs="仿宋_GB2312"/>
          <w:color w:val="000000"/>
          <w:kern w:val="0"/>
          <w:sz w:val="32"/>
          <w:szCs w:val="32"/>
          <w:lang w:val="en-US" w:eastAsia="zh-CN"/>
        </w:rPr>
        <w:t>2人</w:t>
      </w:r>
      <w:r>
        <w:rPr>
          <w:rFonts w:hint="eastAsia" w:ascii="仿宋_GB2312" w:hAnsi="仿宋" w:eastAsia="仿宋_GB2312" w:cs="仿宋_GB2312"/>
          <w:color w:val="000000"/>
          <w:kern w:val="0"/>
          <w:sz w:val="32"/>
          <w:szCs w:val="32"/>
        </w:rPr>
        <w:t>（加挂交通局牌子）、财政局</w:t>
      </w:r>
      <w:r>
        <w:rPr>
          <w:rFonts w:hint="eastAsia" w:ascii="仿宋_GB2312" w:hAnsi="仿宋" w:eastAsia="仿宋_GB2312" w:cs="仿宋_GB2312"/>
          <w:color w:val="000000"/>
          <w:kern w:val="0"/>
          <w:sz w:val="32"/>
          <w:szCs w:val="32"/>
          <w:lang w:val="en-US" w:eastAsia="zh-CN"/>
        </w:rPr>
        <w:t>3人</w:t>
      </w:r>
      <w:r>
        <w:rPr>
          <w:rFonts w:hint="eastAsia" w:ascii="仿宋_GB2312" w:hAnsi="仿宋" w:eastAsia="仿宋_GB2312" w:cs="仿宋_GB2312"/>
          <w:color w:val="000000"/>
          <w:kern w:val="0"/>
          <w:sz w:val="32"/>
          <w:szCs w:val="32"/>
        </w:rPr>
        <w:t>、组织人社局</w:t>
      </w:r>
      <w:r>
        <w:rPr>
          <w:rFonts w:hint="eastAsia" w:ascii="仿宋_GB2312" w:hAnsi="仿宋" w:eastAsia="仿宋_GB2312" w:cs="仿宋_GB2312"/>
          <w:color w:val="000000"/>
          <w:kern w:val="0"/>
          <w:sz w:val="32"/>
          <w:szCs w:val="32"/>
          <w:lang w:val="en-US" w:eastAsia="zh-CN"/>
        </w:rPr>
        <w:t>4人</w:t>
      </w:r>
      <w:r>
        <w:rPr>
          <w:rFonts w:hint="eastAsia" w:ascii="仿宋_GB2312" w:hAnsi="仿宋" w:eastAsia="仿宋_GB2312" w:cs="仿宋_GB2312"/>
          <w:color w:val="000000"/>
          <w:kern w:val="0"/>
          <w:sz w:val="32"/>
          <w:szCs w:val="32"/>
        </w:rPr>
        <w:t>（加挂宣传统战部牌子）、纪检监察室</w:t>
      </w:r>
      <w:r>
        <w:rPr>
          <w:rFonts w:hint="eastAsia" w:ascii="仿宋_GB2312" w:hAnsi="仿宋" w:eastAsia="仿宋_GB2312" w:cs="仿宋_GB2312"/>
          <w:color w:val="000000"/>
          <w:kern w:val="0"/>
          <w:sz w:val="32"/>
          <w:szCs w:val="32"/>
          <w:lang w:val="en-US" w:eastAsia="zh-CN"/>
        </w:rPr>
        <w:t>2人</w:t>
      </w:r>
      <w:r>
        <w:rPr>
          <w:rFonts w:hint="eastAsia" w:ascii="仿宋_GB2312" w:hAnsi="仿宋" w:eastAsia="仿宋_GB2312" w:cs="仿宋_GB2312"/>
          <w:color w:val="000000"/>
          <w:kern w:val="0"/>
          <w:sz w:val="32"/>
          <w:szCs w:val="32"/>
        </w:rPr>
        <w:t>等8个工作机构</w:t>
      </w:r>
      <w:r>
        <w:rPr>
          <w:rFonts w:hint="eastAsia" w:ascii="仿宋_GB2312" w:hAnsi="仿宋" w:eastAsia="仿宋_GB2312" w:cs="仿宋_GB2312"/>
          <w:color w:val="000000"/>
          <w:kern w:val="0"/>
          <w:sz w:val="32"/>
          <w:szCs w:val="32"/>
          <w:lang w:eastAsia="zh-CN"/>
        </w:rPr>
        <w:t>。</w:t>
      </w:r>
    </w:p>
    <w:p>
      <w:pPr>
        <w:widowControl/>
        <w:spacing w:line="600" w:lineRule="exact"/>
        <w:ind w:firstLine="964" w:firstLineChars="300"/>
        <w:rPr>
          <w:rFonts w:hint="eastAsia" w:ascii="Times New Roman" w:hAnsi="Times New Roman" w:eastAsia="仿宋_GB2312" w:cs="黑体"/>
          <w:color w:val="000000"/>
          <w:kern w:val="0"/>
          <w:sz w:val="32"/>
          <w:szCs w:val="32"/>
          <w:lang w:val="en-US" w:eastAsia="zh-CN" w:bidi="ar-SA"/>
        </w:rPr>
      </w:pPr>
      <w:r>
        <w:rPr>
          <w:rFonts w:hint="eastAsia" w:ascii="楷体_GB2312" w:hAnsi="楷体_GB2312" w:eastAsia="楷体_GB2312" w:cs="楷体_GB2312"/>
          <w:b/>
          <w:bCs w:val="0"/>
          <w:kern w:val="0"/>
          <w:sz w:val="32"/>
          <w:szCs w:val="32"/>
        </w:rPr>
        <w:t>（二）决算单位构成。</w:t>
      </w:r>
      <w:r>
        <w:rPr>
          <w:rFonts w:hint="eastAsia" w:ascii="Times New Roman" w:hAnsi="Times New Roman" w:eastAsia="仿宋_GB2312" w:cs="黑体"/>
          <w:color w:val="000000"/>
          <w:kern w:val="0"/>
          <w:sz w:val="32"/>
          <w:szCs w:val="32"/>
          <w:lang w:val="en-US" w:eastAsia="zh-CN" w:bidi="ar-SA"/>
        </w:rPr>
        <w:t>湖南永州国家农业科技园区管理委员会2023年部门决算汇总公开单位构成包括：</w:t>
      </w:r>
      <w:r>
        <w:rPr>
          <w:rFonts w:hint="eastAsia" w:ascii="仿宋_GB2312" w:hAnsi="仿宋" w:eastAsia="仿宋_GB2312" w:cs="仿宋_GB2312"/>
          <w:color w:val="000000"/>
          <w:kern w:val="0"/>
          <w:sz w:val="32"/>
          <w:szCs w:val="32"/>
        </w:rPr>
        <w:t>湖南永州国家农业科技园区管理委员会本级，无其他二级预算单位。</w:t>
      </w:r>
    </w:p>
    <w:p>
      <w:pPr>
        <w:jc w:val="left"/>
        <w:rPr>
          <w:rFonts w:ascii="仿宋_GB2312" w:eastAsia="仿宋_GB2312" w:hAnsiTheme="minorEastAsia"/>
          <w:sz w:val="28"/>
          <w:szCs w:val="32"/>
        </w:rPr>
      </w:pP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both"/>
        <w:rPr>
          <w:sz w:val="72"/>
          <w:szCs w:val="72"/>
        </w:rPr>
      </w:pPr>
    </w:p>
    <w:p>
      <w:pPr>
        <w:jc w:val="center"/>
        <w:rPr>
          <w:sz w:val="72"/>
          <w:szCs w:val="72"/>
        </w:rPr>
      </w:pPr>
    </w:p>
    <w:p>
      <w:pPr>
        <w:jc w:val="center"/>
        <w:rPr>
          <w:sz w:val="72"/>
          <w:szCs w:val="72"/>
        </w:rPr>
      </w:pPr>
    </w:p>
    <w:p>
      <w:pPr>
        <w:pStyle w:val="13"/>
        <w:jc w:val="center"/>
        <w:rPr>
          <w:rFonts w:hint="eastAsia" w:ascii="方正小标宋_GBK" w:hAnsi="方正小标宋_GBK" w:eastAsia="方正小标宋_GBK" w:cs="方正小标宋_GBK"/>
          <w:sz w:val="84"/>
          <w:szCs w:val="84"/>
        </w:rPr>
      </w:pP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pPr>
        <w:jc w:val="center"/>
        <w:rPr>
          <w:rFonts w:hint="eastAsia" w:ascii="楷体_GB2312" w:hAnsi="楷体_GB2312" w:eastAsia="楷体_GB2312" w:cs="楷体_GB2312"/>
          <w:b/>
          <w:bCs/>
          <w:color w:val="000000"/>
          <w:kern w:val="0"/>
          <w:sz w:val="52"/>
          <w:szCs w:val="52"/>
          <w:lang w:val="en-US" w:eastAsia="zh-CN" w:bidi="ar-SA"/>
        </w:rPr>
      </w:pPr>
      <w:r>
        <w:rPr>
          <w:rFonts w:hint="eastAsia" w:ascii="楷体_GB2312" w:hAnsi="楷体_GB2312" w:eastAsia="楷体_GB2312" w:cs="楷体_GB2312"/>
          <w:b/>
          <w:bCs/>
          <w:color w:val="000000"/>
          <w:kern w:val="0"/>
          <w:sz w:val="52"/>
          <w:szCs w:val="52"/>
          <w:lang w:val="en-US" w:eastAsia="zh-CN" w:bidi="ar-SA"/>
        </w:rPr>
        <w:t>（详见附表）</w:t>
      </w:r>
    </w:p>
    <w:p>
      <w:pPr>
        <w:jc w:val="center"/>
        <w:rPr>
          <w:sz w:val="72"/>
          <w:szCs w:val="72"/>
        </w:rPr>
      </w:pPr>
    </w:p>
    <w:p>
      <w:pPr>
        <w:ind w:firstLine="1440" w:firstLineChars="200"/>
        <w:jc w:val="left"/>
        <w:rPr>
          <w:color w:val="auto"/>
          <w:sz w:val="72"/>
          <w:szCs w:val="72"/>
        </w:rPr>
      </w:pPr>
    </w:p>
    <w:p>
      <w:pPr>
        <w:jc w:val="left"/>
        <w:rPr>
          <w:rFonts w:asciiTheme="minorEastAsia" w:hAnsiTheme="minorEastAsia"/>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p>
      <w:pPr>
        <w:pStyle w:val="13"/>
        <w:rPr>
          <w:sz w:val="72"/>
          <w:szCs w:val="72"/>
        </w:rPr>
      </w:pPr>
    </w:p>
    <w:p>
      <w:pPr>
        <w:pStyle w:val="13"/>
        <w:rPr>
          <w:sz w:val="72"/>
          <w:szCs w:val="72"/>
        </w:rPr>
      </w:pPr>
    </w:p>
    <w:p>
      <w:pPr>
        <w:pStyle w:val="13"/>
        <w:jc w:val="center"/>
        <w:rPr>
          <w:sz w:val="72"/>
          <w:szCs w:val="72"/>
        </w:rPr>
      </w:pPr>
    </w:p>
    <w:p>
      <w:pPr>
        <w:pStyle w:val="13"/>
        <w:jc w:val="center"/>
        <w:rPr>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pPr>
        <w:pStyle w:val="13"/>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3</w:t>
      </w:r>
      <w:r>
        <w:rPr>
          <w:rFonts w:hint="eastAsia" w:ascii="方正小标宋_GBK" w:hAnsi="方正小标宋_GBK" w:eastAsia="方正小标宋_GBK" w:cs="方正小标宋_GBK"/>
          <w:sz w:val="70"/>
          <w:szCs w:val="70"/>
        </w:rPr>
        <w:t>年度部门决算情况说明</w:t>
      </w:r>
    </w:p>
    <w:p>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2023年度收入总计</w:t>
      </w:r>
      <w:r>
        <w:rPr>
          <w:rFonts w:hint="default" w:ascii="仿宋_GB2312" w:hAnsi="仿宋" w:eastAsia="仿宋_GB2312" w:cs="仿宋_GB2312"/>
          <w:color w:val="000000"/>
          <w:kern w:val="0"/>
          <w:sz w:val="32"/>
          <w:szCs w:val="32"/>
          <w:lang w:val="en-US" w:eastAsia="zh-CN" w:bidi="ar-SA"/>
        </w:rPr>
        <w:t>563.29</w:t>
      </w:r>
      <w:r>
        <w:rPr>
          <w:rFonts w:hint="eastAsia" w:ascii="仿宋_GB2312" w:hAnsi="仿宋" w:eastAsia="仿宋_GB2312" w:cs="仿宋_GB2312"/>
          <w:color w:val="000000"/>
          <w:kern w:val="0"/>
          <w:sz w:val="32"/>
          <w:szCs w:val="32"/>
          <w:lang w:val="en-US" w:eastAsia="zh-CN" w:bidi="ar-SA"/>
        </w:rPr>
        <w:t>万元。与上年相比，减少</w:t>
      </w:r>
      <w:r>
        <w:rPr>
          <w:rFonts w:hint="default" w:ascii="仿宋_GB2312" w:hAnsi="仿宋" w:eastAsia="仿宋_GB2312" w:cs="仿宋_GB2312"/>
          <w:color w:val="000000"/>
          <w:kern w:val="0"/>
          <w:sz w:val="32"/>
          <w:szCs w:val="32"/>
          <w:lang w:val="en-US" w:eastAsia="zh-CN" w:bidi="ar-SA"/>
        </w:rPr>
        <w:t>228.9</w:t>
      </w:r>
      <w:r>
        <w:rPr>
          <w:rFonts w:hint="eastAsia" w:ascii="仿宋_GB2312" w:hAnsi="仿宋" w:eastAsia="仿宋_GB2312" w:cs="仿宋_GB2312"/>
          <w:color w:val="000000"/>
          <w:kern w:val="0"/>
          <w:sz w:val="32"/>
          <w:szCs w:val="32"/>
          <w:lang w:val="en-US" w:eastAsia="zh-CN" w:bidi="ar-SA"/>
        </w:rPr>
        <w:t>万元，减少</w:t>
      </w:r>
      <w:r>
        <w:rPr>
          <w:rFonts w:hint="default" w:ascii="仿宋_GB2312" w:hAnsi="仿宋" w:eastAsia="仿宋_GB2312" w:cs="仿宋_GB2312"/>
          <w:color w:val="000000"/>
          <w:kern w:val="0"/>
          <w:sz w:val="32"/>
          <w:szCs w:val="32"/>
          <w:lang w:val="en-US" w:eastAsia="zh-CN" w:bidi="ar-SA"/>
        </w:rPr>
        <w:t>28.9</w:t>
      </w:r>
      <w:r>
        <w:rPr>
          <w:rFonts w:hint="eastAsia" w:ascii="仿宋_GB2312" w:hAnsi="仿宋" w:eastAsia="仿宋_GB2312" w:cs="仿宋_GB2312"/>
          <w:color w:val="000000"/>
          <w:kern w:val="0"/>
          <w:sz w:val="32"/>
          <w:szCs w:val="32"/>
          <w:lang w:val="en-US" w:eastAsia="zh-CN" w:bidi="ar-SA"/>
        </w:rPr>
        <w:t>%，主要是因为</w:t>
      </w:r>
      <w:r>
        <w:rPr>
          <w:rFonts w:hint="default" w:ascii="仿宋_GB2312" w:hAnsi="仿宋" w:eastAsia="仿宋_GB2312" w:cs="仿宋_GB2312"/>
          <w:color w:val="000000"/>
          <w:kern w:val="0"/>
          <w:sz w:val="32"/>
          <w:szCs w:val="32"/>
          <w:lang w:val="en-US" w:eastAsia="zh-CN" w:bidi="ar-SA"/>
        </w:rPr>
        <w:t>2023</w:t>
      </w:r>
      <w:r>
        <w:rPr>
          <w:rFonts w:hint="eastAsia" w:ascii="仿宋_GB2312" w:hAnsi="仿宋" w:eastAsia="仿宋_GB2312" w:cs="仿宋_GB2312"/>
          <w:color w:val="000000"/>
          <w:kern w:val="0"/>
          <w:sz w:val="32"/>
          <w:szCs w:val="32"/>
          <w:lang w:val="en-US" w:eastAsia="zh-CN" w:bidi="ar-SA"/>
        </w:rPr>
        <w:t>年人数比2022年少了7人。</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2023年度支出总计</w:t>
      </w:r>
      <w:r>
        <w:rPr>
          <w:rFonts w:hint="default" w:ascii="仿宋_GB2312" w:hAnsi="仿宋" w:eastAsia="仿宋_GB2312" w:cs="仿宋_GB2312"/>
          <w:color w:val="000000"/>
          <w:kern w:val="0"/>
          <w:sz w:val="32"/>
          <w:szCs w:val="32"/>
          <w:lang w:val="en-US" w:eastAsia="zh-CN" w:bidi="ar-SA"/>
        </w:rPr>
        <w:t>563.29</w:t>
      </w:r>
      <w:r>
        <w:rPr>
          <w:rFonts w:hint="eastAsia" w:ascii="仿宋_GB2312" w:hAnsi="仿宋" w:eastAsia="仿宋_GB2312" w:cs="仿宋_GB2312"/>
          <w:color w:val="000000"/>
          <w:kern w:val="0"/>
          <w:sz w:val="32"/>
          <w:szCs w:val="32"/>
          <w:lang w:val="en-US" w:eastAsia="zh-CN" w:bidi="ar-SA"/>
        </w:rPr>
        <w:t>万元。与上年相比，减少</w:t>
      </w:r>
      <w:r>
        <w:rPr>
          <w:rFonts w:hint="default" w:ascii="仿宋_GB2312" w:hAnsi="仿宋" w:eastAsia="仿宋_GB2312" w:cs="仿宋_GB2312"/>
          <w:color w:val="000000"/>
          <w:kern w:val="0"/>
          <w:sz w:val="32"/>
          <w:szCs w:val="32"/>
          <w:lang w:val="en-US" w:eastAsia="zh-CN" w:bidi="ar-SA"/>
        </w:rPr>
        <w:t>228.9</w:t>
      </w:r>
      <w:r>
        <w:rPr>
          <w:rFonts w:hint="eastAsia" w:ascii="仿宋_GB2312" w:hAnsi="仿宋" w:eastAsia="仿宋_GB2312" w:cs="仿宋_GB2312"/>
          <w:color w:val="000000"/>
          <w:kern w:val="0"/>
          <w:sz w:val="32"/>
          <w:szCs w:val="32"/>
          <w:lang w:val="en-US" w:eastAsia="zh-CN" w:bidi="ar-SA"/>
        </w:rPr>
        <w:t>万元，减少</w:t>
      </w:r>
      <w:r>
        <w:rPr>
          <w:rFonts w:hint="default" w:ascii="仿宋_GB2312" w:hAnsi="仿宋" w:eastAsia="仿宋_GB2312" w:cs="仿宋_GB2312"/>
          <w:color w:val="000000"/>
          <w:kern w:val="0"/>
          <w:sz w:val="32"/>
          <w:szCs w:val="32"/>
          <w:lang w:val="en-US" w:eastAsia="zh-CN" w:bidi="ar-SA"/>
        </w:rPr>
        <w:t>28.9</w:t>
      </w:r>
      <w:r>
        <w:rPr>
          <w:rFonts w:hint="eastAsia" w:ascii="仿宋_GB2312" w:hAnsi="仿宋" w:eastAsia="仿宋_GB2312" w:cs="仿宋_GB2312"/>
          <w:color w:val="000000"/>
          <w:kern w:val="0"/>
          <w:sz w:val="32"/>
          <w:szCs w:val="32"/>
          <w:lang w:val="en-US" w:eastAsia="zh-CN" w:bidi="ar-SA"/>
        </w:rPr>
        <w:t>%，主要是因为</w:t>
      </w:r>
      <w:r>
        <w:rPr>
          <w:rFonts w:hint="default" w:ascii="仿宋_GB2312" w:hAnsi="仿宋" w:eastAsia="仿宋_GB2312" w:cs="仿宋_GB2312"/>
          <w:color w:val="000000"/>
          <w:kern w:val="0"/>
          <w:sz w:val="32"/>
          <w:szCs w:val="32"/>
          <w:lang w:val="en-US" w:eastAsia="zh-CN" w:bidi="ar-SA"/>
        </w:rPr>
        <w:t>2023</w:t>
      </w:r>
      <w:r>
        <w:rPr>
          <w:rFonts w:hint="eastAsia" w:ascii="仿宋_GB2312" w:hAnsi="仿宋" w:eastAsia="仿宋_GB2312" w:cs="仿宋_GB2312"/>
          <w:color w:val="000000"/>
          <w:kern w:val="0"/>
          <w:sz w:val="32"/>
          <w:szCs w:val="32"/>
          <w:lang w:val="en-US" w:eastAsia="zh-CN" w:bidi="ar-SA"/>
        </w:rPr>
        <w:t>年人数比2022年少了7人。</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2023年度收入合计563.29万元，其中：财政拨款收入556.71万元，占98.83%；上级补助收入0万元，占0%；事业收入0万元，占0%；经营收入0万元，占0%；附属单位上缴收入0万元，占0%；其他收入6.58万元，占1.17%。</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2023年度支出合计563.29万元，其中：基本支出538.35万元，占95.57%；项目支出24.94万元，占4.43%；上缴上级支出0万元，占0%；经营支出0万元，占0%；对附属单位补助支出0万元，占0%。</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2023年度财政拨款收入总计556.71元，与上年相比，减少235.48万元,减少29.73%，主要是因为</w:t>
      </w:r>
      <w:r>
        <w:rPr>
          <w:rFonts w:hint="default" w:ascii="仿宋_GB2312" w:hAnsi="仿宋" w:eastAsia="仿宋_GB2312" w:cs="仿宋_GB2312"/>
          <w:color w:val="000000"/>
          <w:kern w:val="0"/>
          <w:sz w:val="32"/>
          <w:szCs w:val="32"/>
          <w:lang w:val="en-US" w:eastAsia="zh-CN" w:bidi="ar-SA"/>
        </w:rPr>
        <w:t>2023</w:t>
      </w:r>
      <w:r>
        <w:rPr>
          <w:rFonts w:hint="eastAsia" w:ascii="仿宋_GB2312" w:hAnsi="仿宋" w:eastAsia="仿宋_GB2312" w:cs="仿宋_GB2312"/>
          <w:color w:val="000000"/>
          <w:kern w:val="0"/>
          <w:sz w:val="32"/>
          <w:szCs w:val="32"/>
          <w:lang w:val="en-US" w:eastAsia="zh-CN" w:bidi="ar-SA"/>
        </w:rPr>
        <w:t>年人数比2022年少了7人。</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2023年度财政拨款支出总计556.71元，与上年相比，减少235.48万元,减少29.73%，主要是因为</w:t>
      </w:r>
      <w:r>
        <w:rPr>
          <w:rFonts w:hint="default" w:ascii="仿宋_GB2312" w:hAnsi="仿宋" w:eastAsia="仿宋_GB2312" w:cs="仿宋_GB2312"/>
          <w:color w:val="000000"/>
          <w:kern w:val="0"/>
          <w:sz w:val="32"/>
          <w:szCs w:val="32"/>
          <w:lang w:val="en-US" w:eastAsia="zh-CN" w:bidi="ar-SA"/>
        </w:rPr>
        <w:t>2023</w:t>
      </w:r>
      <w:r>
        <w:rPr>
          <w:rFonts w:hint="eastAsia" w:ascii="仿宋_GB2312" w:hAnsi="仿宋" w:eastAsia="仿宋_GB2312" w:cs="仿宋_GB2312"/>
          <w:color w:val="000000"/>
          <w:kern w:val="0"/>
          <w:sz w:val="32"/>
          <w:szCs w:val="32"/>
          <w:lang w:val="en-US" w:eastAsia="zh-CN" w:bidi="ar-SA"/>
        </w:rPr>
        <w:t>年人数比2022年少了7人。</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pPr>
        <w:pStyle w:val="13"/>
        <w:keepNext w:val="0"/>
        <w:keepLines w:val="0"/>
        <w:pageBreakBefore w:val="0"/>
        <w:widowControl w:val="0"/>
        <w:numPr>
          <w:ilvl w:val="0"/>
          <w:numId w:val="1"/>
        </w:numPr>
        <w:kinsoku/>
        <w:wordWrap/>
        <w:overflowPunct/>
        <w:topLinePunct w:val="0"/>
        <w:bidi w:val="0"/>
        <w:snapToGrid/>
        <w:spacing w:line="600" w:lineRule="exact"/>
        <w:ind w:firstLine="640" w:firstLineChars="200"/>
        <w:textAlignment w:val="auto"/>
        <w:rPr>
          <w:rFonts w:hint="eastAsia" w:ascii="楷体_GB2312" w:hAnsi="楷体_GB2312" w:eastAsia="楷体_GB2312" w:cs="楷体_GB2312"/>
          <w:b/>
          <w:bCs w:val="0"/>
          <w:sz w:val="32"/>
          <w:szCs w:val="32"/>
        </w:rPr>
      </w:pPr>
      <w:r>
        <w:rPr>
          <w:rFonts w:hint="eastAsia" w:ascii="楷体_GB2312" w:hAnsi="楷体_GB2312" w:eastAsia="楷体_GB2312" w:cs="楷体_GB2312"/>
          <w:b/>
          <w:bCs w:val="0"/>
          <w:sz w:val="32"/>
          <w:szCs w:val="32"/>
          <w:lang w:eastAsia="zh-CN"/>
        </w:rPr>
        <w:t>一般公共预算</w:t>
      </w:r>
      <w:r>
        <w:rPr>
          <w:rFonts w:hint="eastAsia" w:ascii="楷体_GB2312" w:hAnsi="楷体_GB2312" w:eastAsia="楷体_GB2312" w:cs="楷体_GB2312"/>
          <w:b/>
          <w:bCs w:val="0"/>
          <w:sz w:val="32"/>
          <w:szCs w:val="32"/>
        </w:rPr>
        <w:t>财政拨款支出决算总体情况</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2023年度财政拨款支出556.71万元，占本年支出合计的98.83%，与上年相比，财政拨款支出减少235.48万元，减少29.73%，主要是因为</w:t>
      </w:r>
      <w:r>
        <w:rPr>
          <w:rFonts w:hint="default" w:ascii="仿宋_GB2312" w:hAnsi="仿宋" w:eastAsia="仿宋_GB2312" w:cs="仿宋_GB2312"/>
          <w:color w:val="000000"/>
          <w:kern w:val="0"/>
          <w:sz w:val="32"/>
          <w:szCs w:val="32"/>
          <w:lang w:val="en-US" w:eastAsia="zh-CN" w:bidi="ar-SA"/>
        </w:rPr>
        <w:t>2023</w:t>
      </w:r>
      <w:r>
        <w:rPr>
          <w:rFonts w:hint="eastAsia" w:ascii="仿宋_GB2312" w:hAnsi="仿宋" w:eastAsia="仿宋_GB2312" w:cs="仿宋_GB2312"/>
          <w:color w:val="000000"/>
          <w:kern w:val="0"/>
          <w:sz w:val="32"/>
          <w:szCs w:val="32"/>
          <w:lang w:val="en-US" w:eastAsia="zh-CN" w:bidi="ar-SA"/>
        </w:rPr>
        <w:t>年人数比2022年少了7人。</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_GB2312" w:hAnsi="楷体_GB2312" w:eastAsia="楷体_GB2312" w:cs="楷体_GB2312"/>
          <w:b/>
          <w:bCs w:val="0"/>
          <w:sz w:val="32"/>
          <w:szCs w:val="32"/>
        </w:rPr>
      </w:pPr>
      <w:r>
        <w:rPr>
          <w:rFonts w:hint="eastAsia" w:ascii="楷体_GB2312" w:hAnsi="楷体_GB2312" w:eastAsia="楷体_GB2312" w:cs="楷体_GB2312"/>
          <w:b/>
          <w:bCs w:val="0"/>
          <w:sz w:val="32"/>
          <w:szCs w:val="32"/>
        </w:rPr>
        <w:t>（二）</w:t>
      </w:r>
      <w:r>
        <w:rPr>
          <w:rFonts w:hint="eastAsia" w:ascii="楷体_GB2312" w:hAnsi="楷体_GB2312" w:eastAsia="楷体_GB2312" w:cs="楷体_GB2312"/>
          <w:b/>
          <w:bCs w:val="0"/>
          <w:sz w:val="32"/>
          <w:szCs w:val="32"/>
          <w:lang w:eastAsia="zh-CN"/>
        </w:rPr>
        <w:t>一般公共预算</w:t>
      </w:r>
      <w:r>
        <w:rPr>
          <w:rFonts w:hint="eastAsia" w:ascii="楷体_GB2312" w:hAnsi="楷体_GB2312" w:eastAsia="楷体_GB2312" w:cs="楷体_GB2312"/>
          <w:b/>
          <w:bCs w:val="0"/>
          <w:sz w:val="32"/>
          <w:szCs w:val="32"/>
        </w:rPr>
        <w:t>财政拨款支出决算结构情况</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2023年度财政拨款支出556.71万元，主要用于以下方面：农林水支出429.05万元，占77.07%；社会保障和就业支出48.22万元，占8.66%；卫生健康支出19.46万元，占3.49%；住房保障支出41.62万元，占7.48%；其他支出18.36万元，占3.3%。</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_GB2312" w:hAnsi="楷体_GB2312" w:eastAsia="楷体_GB2312" w:cs="楷体_GB2312"/>
          <w:b/>
          <w:bCs w:val="0"/>
          <w:sz w:val="32"/>
          <w:szCs w:val="32"/>
        </w:rPr>
      </w:pPr>
      <w:r>
        <w:rPr>
          <w:rFonts w:hint="eastAsia" w:ascii="楷体_GB2312" w:hAnsi="楷体_GB2312" w:eastAsia="楷体_GB2312" w:cs="楷体_GB2312"/>
          <w:b/>
          <w:bCs w:val="0"/>
          <w:sz w:val="32"/>
          <w:szCs w:val="32"/>
        </w:rPr>
        <w:t>（三）</w:t>
      </w:r>
      <w:r>
        <w:rPr>
          <w:rFonts w:hint="eastAsia" w:ascii="楷体_GB2312" w:hAnsi="楷体_GB2312" w:eastAsia="楷体_GB2312" w:cs="楷体_GB2312"/>
          <w:b/>
          <w:bCs w:val="0"/>
          <w:sz w:val="32"/>
          <w:szCs w:val="32"/>
          <w:lang w:eastAsia="zh-CN"/>
        </w:rPr>
        <w:t>一般公共预算</w:t>
      </w:r>
      <w:r>
        <w:rPr>
          <w:rFonts w:hint="eastAsia" w:ascii="楷体_GB2312" w:hAnsi="楷体_GB2312" w:eastAsia="楷体_GB2312" w:cs="楷体_GB2312"/>
          <w:b/>
          <w:bCs w:val="0"/>
          <w:sz w:val="32"/>
          <w:szCs w:val="32"/>
        </w:rPr>
        <w:t>财政拨款支出决算具体情况</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2023年度财政拨款支出年初预算数为526.44万元，支出决算数为556.71万元，完成年初预算的105.75%，其中：</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1、农林水支出（类）农业农村（款）行政运行（项）。</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年初预算为425.41万元，支出决算为429.05万元，完成年初预算的100.86%，决算数大于年初预算数的主要原因是：2023年工资按相关政策进行上调。</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2、社会保障和就业支出（类）行政事业单位养老支出（款）机关事业单位基本养老保险缴费支出（项）。</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年初预算为37.19万元，支出决算为48.22万元，完成年初预算的129.66%，决算数大于年初预算数的主要原因是：2023年养老保险基数按照2023年最新工资确定。</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3、卫生健康支出（类）行政事业单位医疗（款）事业单位医疗（项）。</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年初预算为20.22万元，支出决算为19.46万元，完成年初预算的96.24%，决算数小于年初预算数的主要原因是：2023年单位医疗保险基数下调。</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4、住房保障支出（类）住房改革支出（款）住房公积金（项）。</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年初预算为43.62万元，支出决算为41.62万元，完成年初预算的95.41%，决算数小于年初预算数的主要原因是：2023年住房公积金基数按照2023年最新工资确定，另2023年在职人数比2022年少7人，结合两个原因从而导致决算数小于预算数。</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5、其他支出（类）其他支出（款）其他支出（项）。</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年初预算为0万元，支出决算为18.36万元，决算数大于年初预算数的主要原因是：该笔其他支出属于办公租赁费用，因我单位无办公楼，办公地点属于租赁，2023年我单位办公经费无法保障办公租赁费用的支出，租赁费属于年中追加数据，从而无年初预算数。</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2023年度财政拨款基本支出538.35万元，其中：</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人员经费488.1万元，占基本支出的90.67%,主要包括基本工资130.58万元、津贴补贴0.58万元、奖金157.42万元、绩效工资90.22万元、机关事业单位基本养老保险缴费48.22万元、职工基本医疗保险缴费支出19.46万元、住房公积金41.62万元。</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公用经费50.25万元，占基本支出的9.33%，主要包括办公费5万元、邮电费0.4万元、差旅费1万元、维修（护）费0.2万元、会议费0.4万元、培训费0.9万元、公务接待费4万元、劳务费0.2万元、工会经费4.65万元、公务用车运行维护费0.61万元、其他交通费用25.19万元、其他商品和服务支出7.7万元。</w:t>
      </w:r>
    </w:p>
    <w:p>
      <w:pPr>
        <w:pStyle w:val="13"/>
        <w:keepNext w:val="0"/>
        <w:keepLines w:val="0"/>
        <w:pageBreakBefore w:val="0"/>
        <w:widowControl w:val="0"/>
        <w:numPr>
          <w:ilvl w:val="0"/>
          <w:numId w:val="2"/>
        </w:numPr>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财政拨款三公经费支出决算情况说明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三公”经费财政拨款支出预算为4万元，支出决算为4.61万元，完成预算的115.25%，决算数大于预算数的主要原因是公务用车运行维护费年初无预算，本单位公务用车在加油、保险、维修等方面有支出，实际支出时从其他交通费用项目列支，与上年相比增加0.61万元，增长15.25%,增长的主要原因是本年度公务用车运行维护费根据实际数据进行填报。其中：</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因公出国（境）费支出预算为0万元，支出决算为0万元，决算数与预算数持平的主要原因是我单位本年度无因公出国（境）费支出，与上年相比减少（增加）0万元，减少（增长）0%，持平的主要原因是本单位2022年度和2023年度均无因公出国（境）费用支出。</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公务接待费支出预算为4万元，支出决算为4万元，完成预算的100%，决算数等于预算数，与上年相比减少（增加）0万元，减少（增长）0%，2022年度和2023年度公务接待费支出持平。</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公务用车购置费支出预算为0万元，支出决算为0万元，决算数与预算数持平的主要原因是我单位本年度无公务用车购置费支出，与上年相比减少（增加）0万元，减少（增长）0%，持平的主要原因是本单位2022年度和2023年度均无公务用车购置费支出。</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公务用车运行维护费支出预算为0万元，支出决算为0.61万元，决算数大于预算数的主要原因是本单位公务用车在加油、保险、维修等方面有支出，实际支出时从其他交通费用项目列支，从而决算有数据，与上年相比增加0.61万元，增长的主要原因是本年度公务用车运行维护费根据实际数据进行填报。</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Times New Roman" w:hAnsi="Times New Roman" w:eastAsia="仿宋_GB2312"/>
          <w:sz w:val="32"/>
          <w:szCs w:val="32"/>
          <w:lang w:eastAsia="zh-CN"/>
        </w:rPr>
        <w:t>20</w:t>
      </w:r>
      <w:r>
        <w:rPr>
          <w:rFonts w:hint="eastAsia" w:ascii="仿宋_GB2312" w:hAnsi="仿宋" w:eastAsia="仿宋_GB2312" w:cs="仿宋_GB2312"/>
          <w:color w:val="000000"/>
          <w:kern w:val="0"/>
          <w:sz w:val="32"/>
          <w:szCs w:val="32"/>
          <w:lang w:val="en-US" w:eastAsia="zh-CN" w:bidi="ar-SA"/>
        </w:rPr>
        <w:t>23年度“三公”经费财政拨款支出决算中，公务接待费支出决算4万元，占86.77%，因公出国（境）费支出决算0万元，占0%，公务用车购置费及运行维护费支出决算0.61万元，占13.23%。其中：</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1、2023年度我单位未开展因公出国（境）活动。</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2、公务接待费支出决算为4万元，全年共接待来访团组30个、来宾221人次，主要是科技项目的验收、与本单位洽谈相关项目发生的接待支出。</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3、公务用车购置费及运行维护费支出决算为0.61万元，其中：公务用车购置费0万元，单位本级更新公务用车0辆。公务用车运行维护费0.61万元，主要是公务用车的加油、维修、购买保险的支出，截止2023年12月31日，我单位开支财政拨款的公务用车保有量为1辆。</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Times New Roman" w:hAnsi="Times New Roman" w:eastAsia="仿宋_GB2312"/>
          <w:sz w:val="32"/>
          <w:szCs w:val="32"/>
        </w:rPr>
        <w:t xml:space="preserve">     </w:t>
      </w:r>
      <w:r>
        <w:rPr>
          <w:rFonts w:hint="eastAsia" w:ascii="仿宋_GB2312" w:hAnsi="仿宋" w:eastAsia="仿宋_GB2312" w:cs="仿宋_GB2312"/>
          <w:color w:val="000000"/>
          <w:kern w:val="0"/>
          <w:sz w:val="32"/>
          <w:szCs w:val="32"/>
          <w:lang w:val="en-US" w:eastAsia="zh-CN" w:bidi="ar-SA"/>
        </w:rPr>
        <w:t>2023年度本单位无政府性基金收支。</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Times New Roman" w:hAnsi="Times New Roman" w:eastAsia="仿宋_GB2312"/>
          <w:b/>
          <w:sz w:val="32"/>
          <w:szCs w:val="32"/>
        </w:rPr>
        <w:t>九、关于机关运行经费支出说明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仿宋_GB2312" w:hAnsi="仿宋" w:eastAsia="仿宋_GB2312" w:cs="仿宋_GB2312"/>
          <w:color w:val="000000"/>
          <w:kern w:val="0"/>
          <w:sz w:val="32"/>
          <w:szCs w:val="32"/>
          <w:lang w:val="en-US" w:eastAsia="zh-CN" w:bidi="ar-SA"/>
        </w:rPr>
        <w:t xml:space="preserve">本单位属于公益一类事业单位，不属于行政单位和参照公务员法管理事业单位，无机关运行经费。   </w:t>
      </w:r>
      <w:r>
        <w:rPr>
          <w:rFonts w:hint="eastAsia" w:ascii="Times New Roman" w:hAnsi="Times New Roman" w:eastAsia="仿宋_GB2312"/>
          <w:sz w:val="32"/>
          <w:szCs w:val="32"/>
          <w:lang w:val="en-US" w:eastAsia="zh-CN"/>
        </w:rPr>
        <w:t xml:space="preserve">    </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2023年本部门开支会议费0.4万元，用于召开农业高新技术产业示范区会议，人数30人，内容为农业高新技术产业示范区创建讨论会；开支培训费0.9万元，用于开展全省事业单位工作人员培训，人数26人，内容为本单位事业单位人员培训。</w:t>
      </w:r>
      <w:r>
        <w:rPr>
          <w:rFonts w:hint="eastAsia" w:ascii="仿宋_GB2312" w:hAnsi="仿宋_GB2312" w:eastAsia="仿宋_GB2312" w:cs="仿宋_GB2312"/>
          <w:sz w:val="32"/>
          <w:szCs w:val="32"/>
          <w:lang w:eastAsia="zh-CN"/>
        </w:rPr>
        <w:t>未举办</w:t>
      </w:r>
      <w:r>
        <w:rPr>
          <w:rFonts w:hint="eastAsia" w:ascii="仿宋_GB2312" w:hAnsi="仿宋_GB2312" w:eastAsia="仿宋_GB2312" w:cs="仿宋_GB2312"/>
          <w:sz w:val="32"/>
          <w:szCs w:val="32"/>
        </w:rPr>
        <w:t>节庆、晚会、论坛、赛事活动。</w:t>
      </w:r>
      <w:bookmarkStart w:id="0" w:name="_GoBack"/>
      <w:bookmarkEnd w:id="0"/>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仿宋_GB2312" w:hAnsi="仿宋" w:eastAsia="仿宋_GB2312" w:cs="仿宋_GB2312"/>
          <w:color w:val="000000"/>
          <w:kern w:val="0"/>
          <w:sz w:val="32"/>
          <w:szCs w:val="32"/>
          <w:lang w:val="en-US" w:eastAsia="zh-CN" w:bidi="ar-SA"/>
        </w:rPr>
        <w:t xml:space="preserve">本部门2023年度政府采购支出总额0万元，其中：政府采购货物支出0万元、政府采购工程支出0万元、政府采购服务支出0万元。授予中小企业合同金额0万元，占政府采购支出总额的0%，其中：授予小微企业合同金额0万元，占授予中小企业合同总额的0%。货物采购授予中小企业合同金额占货物支出金额的0%，工程采购授予中小企业合同金额占工程支出金额的0%，服务采购授予中小企业合同金额占服务支出金额的0%。 </w:t>
      </w:r>
      <w:r>
        <w:rPr>
          <w:rFonts w:hint="eastAsia" w:ascii="Times New Roman" w:hAnsi="Times New Roman" w:eastAsia="仿宋_GB2312"/>
          <w:sz w:val="32"/>
          <w:szCs w:val="32"/>
          <w:lang w:val="en-US" w:eastAsia="zh-CN"/>
        </w:rPr>
        <w:t xml:space="preserve"> </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十二、关于国有资产占用情况说明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截至2023年12月31日，湖南永州国家农业科技园区管理委员会共有车辆1辆，其中，副部（省）级及以上领导用车0辆、主要负责人用车0辆、机要通信用车0辆、应急保障用车0辆、执法执勤用车0辆、特种专业技术用车0辆、离退休干部服务用车0辆、其他用车1辆，其他用车主要是公务用车；单位价值100万元以上设备（不含车辆）0台（套）。</w:t>
      </w:r>
    </w:p>
    <w:p>
      <w:pPr>
        <w:pStyle w:val="13"/>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十三、关于</w:t>
      </w:r>
      <w:r>
        <w:rPr>
          <w:rFonts w:hint="eastAsia" w:ascii="Times New Roman" w:hAnsi="Times New Roman" w:eastAsia="仿宋_GB2312"/>
          <w:sz w:val="32"/>
          <w:szCs w:val="32"/>
          <w:lang w:eastAsia="zh-CN"/>
        </w:rPr>
        <w:t>2023</w:t>
      </w:r>
      <w:r>
        <w:rPr>
          <w:rFonts w:hint="eastAsia" w:ascii="黑体" w:hAnsi="黑体" w:eastAsia="黑体" w:cs="黑体"/>
          <w:b w:val="0"/>
          <w:bCs/>
          <w:sz w:val="32"/>
          <w:szCs w:val="32"/>
        </w:rPr>
        <w:t>年度预算绩效情况的说明</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（一）绩效管理工作开展情况</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本单位为全额拨款的公益一类事业单位，根据年终决算数据，2023年度收入总额为563.29万元，其中一般公共预算财政拨款收支556.71万元；费用支出总额为563.29万元。其中：基本支出为538.35万元，占比95.57%，项目支出24.94万元，占比4.43%。我单位不定期地对工作实施情况和经费使用情况进行跟踪检查，对能实现预期绩效目标的项目予以充分肯定，对进展缓慢，预期绩效目标较差的项目，及时进行协调和提出整改措施，确保工作正常运行，达到预期绩效目标，对于出现的偏差问题进行整改，积极应对；进一步健全和完善财务管理制度及内部控制制度，创新管理手段，用新思路、新方法，改进完善财务管理方法；按照财政支出绩效管理的要求，建立了科学的财政资金效益考评制度体系，提高了财政资金使用管理的水平和效率。</w:t>
      </w:r>
    </w:p>
    <w:p>
      <w:pPr>
        <w:pStyle w:val="13"/>
        <w:keepNext w:val="0"/>
        <w:keepLines w:val="0"/>
        <w:pageBreakBefore w:val="0"/>
        <w:widowControl w:val="0"/>
        <w:numPr>
          <w:ilvl w:val="0"/>
          <w:numId w:val="1"/>
        </w:numPr>
        <w:kinsoku/>
        <w:wordWrap/>
        <w:overflowPunct/>
        <w:topLinePunct w:val="0"/>
        <w:autoSpaceDE w:val="0"/>
        <w:autoSpaceDN w:val="0"/>
        <w:bidi w:val="0"/>
        <w:adjustRightInd w:val="0"/>
        <w:snapToGrid/>
        <w:spacing w:line="600" w:lineRule="exact"/>
        <w:ind w:left="0" w:leftChars="0"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rPr>
        <w:t>部门整体支出绩效情况</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b/>
          <w:bCs/>
          <w:color w:val="000000"/>
          <w:kern w:val="0"/>
          <w:sz w:val="32"/>
          <w:szCs w:val="32"/>
          <w:lang w:val="en-US" w:eastAsia="zh-CN" w:bidi="ar-SA"/>
        </w:rPr>
      </w:pPr>
      <w:r>
        <w:rPr>
          <w:rFonts w:hint="eastAsia" w:ascii="仿宋_GB2312" w:hAnsi="仿宋" w:eastAsia="仿宋_GB2312" w:cs="仿宋_GB2312"/>
          <w:b/>
          <w:bCs/>
          <w:color w:val="000000"/>
          <w:kern w:val="0"/>
          <w:sz w:val="32"/>
          <w:szCs w:val="32"/>
          <w:lang w:val="en-US" w:eastAsia="zh-CN" w:bidi="ar-SA"/>
        </w:rPr>
        <w:t>1、总结归纳本单位支出的绩效目标完成情况</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2023年我单位一般公共预算财政拨款收入556.71万元，实际支出556.71万元；无政府性基金预算支出；无国有资本经营预算支出。我单位一般公共预算支出具体包括工资福利支出488.1万元，其中基本工资130.58万元、津贴补贴0.58万元、奖金157.42万元、绩效工资90.22万元、机关事业单位基本养老保险缴费48.22万元、职工基本医疗保险缴费支出19.46万元、住房公积金41.62万元；一般商品和服务支出50.25万元，其中办公费5万元、邮电费0.4万元、差旅费1万元、维修（护）费0.2万元、会议费0.4万元、培训费0.9万元、公务接待费4万元、劳务费0.2万元、工会经费4.65万元、公务用车运行维护费0.61万元、其他交通费用25.19万元、其他商品和服务支出7.7万元。</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我单位一般公共预算支出涵盖单位人员经费及公用经费。所有开支均按照我单位财务管理制度执行，严格按照资金管理办法使用，达到了预期效果，做到了资金投入合理，政策执行有力，资金落实到位，财务管理规范，提升了政府形象，提高了政府的公信力。</w:t>
      </w:r>
    </w:p>
    <w:p>
      <w:pPr>
        <w:pStyle w:val="13"/>
        <w:keepNext w:val="0"/>
        <w:keepLines w:val="0"/>
        <w:pageBreakBefore w:val="0"/>
        <w:widowControl w:val="0"/>
        <w:numPr>
          <w:ilvl w:val="0"/>
          <w:numId w:val="0"/>
        </w:numPr>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b/>
          <w:bCs/>
          <w:sz w:val="32"/>
          <w:szCs w:val="32"/>
        </w:rPr>
      </w:pPr>
      <w:r>
        <w:rPr>
          <w:rFonts w:hint="eastAsia" w:ascii="Times New Roman" w:hAnsi="Times New Roman" w:eastAsia="仿宋_GB2312"/>
          <w:b/>
          <w:bCs/>
          <w:sz w:val="32"/>
          <w:szCs w:val="32"/>
          <w:lang w:val="en-US" w:eastAsia="zh-CN"/>
        </w:rPr>
        <w:t>2、</w:t>
      </w:r>
      <w:r>
        <w:rPr>
          <w:rFonts w:hint="eastAsia" w:ascii="Times New Roman" w:hAnsi="Times New Roman" w:eastAsia="仿宋_GB2312"/>
          <w:b/>
          <w:bCs/>
          <w:sz w:val="32"/>
          <w:szCs w:val="32"/>
          <w:lang w:eastAsia="zh-CN"/>
        </w:rPr>
        <w:t>湖南永州国家农业科技园区管理委员会</w:t>
      </w:r>
      <w:r>
        <w:rPr>
          <w:rFonts w:hint="eastAsia" w:ascii="Times New Roman" w:hAnsi="Times New Roman" w:eastAsia="仿宋_GB2312"/>
          <w:b/>
          <w:bCs/>
          <w:sz w:val="32"/>
          <w:szCs w:val="32"/>
        </w:rPr>
        <w:t>实现产出和取得效益的情况。</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仿宋_GB2312" w:hAnsi="仿宋" w:eastAsia="仿宋_GB2312" w:cs="仿宋_GB2312"/>
          <w:color w:val="000000"/>
          <w:kern w:val="0"/>
          <w:sz w:val="32"/>
          <w:szCs w:val="32"/>
          <w:lang w:val="en-US" w:eastAsia="zh-CN" w:bidi="ar-SA"/>
        </w:rPr>
      </w:pPr>
      <w:r>
        <w:rPr>
          <w:rFonts w:hint="default" w:ascii="仿宋_GB2312" w:hAnsi="仿宋" w:eastAsia="仿宋_GB2312" w:cs="仿宋_GB2312"/>
          <w:color w:val="000000"/>
          <w:kern w:val="0"/>
          <w:sz w:val="32"/>
          <w:szCs w:val="32"/>
          <w:lang w:val="en-US" w:eastAsia="zh-CN" w:bidi="ar-SA"/>
        </w:rPr>
        <w:t>在全面加强党建引领上发力。一是积极探索“党建+业务”深度融合。秉承“一手抓党建、一手抓业务”的中心思想，贯彻“以党的政治建设为统领”的理念，激发党支部组织活力，增强党员服务企业、服务园区的意识和发挥先锋模范作用，助推园区经济高质量发展。二是从严从实开展主题教育。牢牢把握主题教育“学思想、强党性、重实践、建新功”的总要求，精心组织、全面部署，着力推动主题教育走深走实。坚持集体学与自学、研讨与点评相结合，采取“三会一课”、主题党日等多种形式，切实提升政治理论和业务水平，真正将习近平新时代中国特色社会主义思想的世界观和方法论把握好、坚持好、运用好，以党建引领农业科技工作全面开展。第二批主题教育开展以来，园区按照市委的统一部署，聚焦中心工作开展调查研究，扎实推进“走找想促”活动，截至目前，报送调研问题信息13个，已办理完成9个，按期解决率为100%，挖掘的典型经验案例被市委调研组在全市推介。严密举办读书班集中学习活动及主题教育专题研讨交流会，在深学细悟中明方向、解疑惑、强动力，推动主题教育入脑入心、走深走实。期间深入开展以学铸魂、以学增智、以学正风、以学促干专题学习研讨活动4次，切实把主题教育的学习成果转化为工作实效。三是落实意识形态工作责任制。以党工委理论学习中心组为依托，利用“三会一课”、主题党日，有计划有深度的学习习近平新时代中国特色社会主义思想以及党的二十大精神等内容。全年，党工委开展理论学习中心组集中学习12次，围绕学习党的二十大专题研讨2次，开展支部主题党日活动12次。创新理论宣讲，园区党工委书记围绕学习党的二十大精神在园区开展专题宣讲3次。强化宣传思想风险管控，坚持每月开展意识形态领域分析研判、网络舆情排查，防范化解风险隐患。在事关政治方向、政治原则的问题上，自觉维护中央权威，始终在思想上政治上行动上同党中央保持高度一致，牢牢掌握意识形态工作领导权、话语权。一年来，园区干部作风明显好转，干部队伍的执行力有了极大提升，干事创业氛围空前浓厚。</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仿宋_GB2312" w:hAnsi="仿宋" w:eastAsia="仿宋_GB2312" w:cs="仿宋_GB2312"/>
          <w:color w:val="000000"/>
          <w:kern w:val="0"/>
          <w:sz w:val="32"/>
          <w:szCs w:val="32"/>
          <w:lang w:val="en-US" w:eastAsia="zh-CN" w:bidi="ar-SA"/>
        </w:rPr>
      </w:pPr>
      <w:r>
        <w:rPr>
          <w:rFonts w:hint="default" w:ascii="仿宋_GB2312" w:hAnsi="仿宋" w:eastAsia="仿宋_GB2312" w:cs="仿宋_GB2312"/>
          <w:color w:val="000000"/>
          <w:kern w:val="0"/>
          <w:sz w:val="32"/>
          <w:szCs w:val="32"/>
          <w:lang w:val="en-US" w:eastAsia="zh-CN" w:bidi="ar-SA"/>
        </w:rPr>
        <w:t>在深化党风廉政建设上发力。一是全面落实从严治党主体责任。将党风廉政建设责任制纳入到领导班子和领导班子成员的年度述职述廉报告、民主生活会的重要内容。党工委书记认真履行第一责任人职责，班子成员“一岗双责”，严格执行中央八项规定精神和省、市实施细则，始终把纪律和规矩挺在前面，坚持抓早抓小、防微杜渐，严格落实谈话提醒制度，全年共开展各类谈话32人次，运用第一种形态针对苗头性倾向性问题开展谈话4人次。班子成员对分管局室负责人开展日常廉政谈话16人次。二是完善党风廉政机制。制定年度党风廉政建设重点任务安排和纪律作风建设活动方案，修订完善园区党工委会议事决策制度，坚持民主集中制，坚持重大问题集体研究、重大事项向市委、市政府报告，不折不扣落实市委、市政府各项决策部署。三是强化常态化监督。深入推进“两带头五整治”纠风防腐专项行动，开展领导干部利用职权或影响力为亲友牟利专项整治工作。按照“一人一档”形式建立党员干部及公职人员廉政档案29人，实现园区管理公职人员全覆盖。四是经常性开展廉政警示教育。全年组织党员干部及公职人员集中观看专题警示教育片11次、撰写心得体会40余篇，每周五组织园区党员干部职工开展廉政集中学习活动95人次，督促全体人员，时刻绷紧廉洁自律之弦，始终做到心中有戒、行有所止。</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仿宋_GB2312" w:hAnsi="仿宋" w:eastAsia="仿宋_GB2312" w:cs="仿宋_GB2312"/>
          <w:color w:val="000000"/>
          <w:kern w:val="0"/>
          <w:sz w:val="32"/>
          <w:szCs w:val="32"/>
          <w:lang w:val="en-US" w:eastAsia="zh-CN" w:bidi="ar-SA"/>
        </w:rPr>
      </w:pPr>
      <w:r>
        <w:rPr>
          <w:rFonts w:hint="default" w:ascii="仿宋_GB2312" w:hAnsi="仿宋" w:eastAsia="仿宋_GB2312" w:cs="仿宋_GB2312"/>
          <w:color w:val="000000"/>
          <w:kern w:val="0"/>
          <w:sz w:val="32"/>
          <w:szCs w:val="32"/>
          <w:lang w:val="en-US" w:eastAsia="zh-CN" w:bidi="ar-SA"/>
        </w:rPr>
        <w:t>在全力夯实基础配套上发力。一是加速推进标准化厂房一期项目建成，“筑巢引凤”重点引进农林产品精深加工等企业入驻。二是大力引进永州新奥燃气公司投资3000万元入园建设天然气管网项目，为企业解决用气难问题，进一步提高园区的基础配套条件和项目承载能力。三是积极对接市直部门争取将园区污水提升泵站及配套管网项目纳入河东污水处理厂项目，保障园区企业排污需求。</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仿宋_GB2312" w:hAnsi="仿宋" w:eastAsia="仿宋_GB2312" w:cs="仿宋_GB2312"/>
          <w:color w:val="000000"/>
          <w:kern w:val="0"/>
          <w:sz w:val="32"/>
          <w:szCs w:val="32"/>
          <w:lang w:val="en-US" w:eastAsia="zh-CN" w:bidi="ar-SA"/>
        </w:rPr>
      </w:pPr>
      <w:r>
        <w:rPr>
          <w:rFonts w:hint="default" w:ascii="仿宋_GB2312" w:hAnsi="仿宋" w:eastAsia="仿宋_GB2312" w:cs="仿宋_GB2312"/>
          <w:color w:val="000000"/>
          <w:kern w:val="0"/>
          <w:sz w:val="32"/>
          <w:szCs w:val="32"/>
          <w:lang w:val="en-US" w:eastAsia="zh-CN" w:bidi="ar-SA"/>
        </w:rPr>
        <w:t>在健全壮大产业链条上发力。一是立足园区的资源禀赋和农业发展基础,不断建链补链延链强链。扶持永州远鸿农林公司进一步扩大黑木耳种植面积，建设360亩黑木耳示范种植基地。支持企业投资400余万元在孟公山村建设千只鸵鸟特色养殖基地，年产值可实现300万元。支持企业在孟公山村建设香菇产业基地，实现年产值达200万元。二是全力推进投资1800万元的300亩高端有机小水果种植项目建设。三是统筹引进永州市瑶域蔬园农业开发有限公司在伊塘茶花村投资建设1000亩高标准蔬菜示范基地。四是推进零碳产业项目建设，与湖南领英新能源有限公司、超康投资有限公司、中国能源建设集团湖南省电力设计院有限公司合作建设1500MW风电、光伏和储能项目。五是全力推进全市重点项目海大集团投资1亿元的年产25万吨生物饲料项目开工建设，同时重点招引其配套生猪养殖上下游产业。</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仿宋_GB2312" w:hAnsi="仿宋" w:eastAsia="仿宋_GB2312" w:cs="仿宋_GB2312"/>
          <w:color w:val="000000"/>
          <w:kern w:val="0"/>
          <w:sz w:val="32"/>
          <w:szCs w:val="32"/>
          <w:lang w:val="en-US" w:eastAsia="zh-CN" w:bidi="ar-SA"/>
        </w:rPr>
      </w:pPr>
      <w:r>
        <w:rPr>
          <w:rFonts w:hint="default" w:ascii="仿宋_GB2312" w:hAnsi="仿宋" w:eastAsia="仿宋_GB2312" w:cs="仿宋_GB2312"/>
          <w:color w:val="000000"/>
          <w:kern w:val="0"/>
          <w:sz w:val="32"/>
          <w:szCs w:val="32"/>
          <w:lang w:val="en-US" w:eastAsia="zh-CN" w:bidi="ar-SA"/>
        </w:rPr>
        <w:t>在强化科技要素保障上发力。一是全力支持园区湖南和广生物公司与省林业科学院合作开展科技攻关“食用油脂高效超临界流体萃取及副产物高值化利用研究与产业化技术”，该项技术荣获首届湖南省先进制造业科技创新大赛“十大科技创新技术”奖。和广公司成功创建油茶加工示范基地。二是抢抓机遇，大力发展以体验式研学游一体化的工业旅游，支持园区湖南果秀食品产业园成功入选湖南省工业旅游示范基地。同时，加强果秀公司与湖南食用菌研究所、湖南农业大学、湖南林业大学的合作，对“食用菌储运保鲜及高估利用关键技术研究与产品开发”进行攻关。三是园区永州市林业科学研究所正式挂牌建立“永州油茶创新研究院”、永州油茶育苗基地、永州油茶标准化种植基地，与省林科院合作共建木本油料资源利用国家重点实验室永州分支机构。四是扶持园区企业湖南和广公司“食用油脂高效超临界流体萃取及副产物高值化利用技术中心”和绿生源公司“油茶创新工程技术中心平台建设”项目成功申报2023年中央引导地方科技发展资金湖南省提前批项目立项项目，争取项目资金共计160万元。五是开展 “科技型中小企业”培育及申报，园区多家企业绿生源、和广、永康、远鸿公司等在科技成果转化和产业化进展上取得了喜人成绩，申报成功。</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仿宋_GB2312" w:hAnsi="仿宋" w:eastAsia="仿宋_GB2312" w:cs="仿宋_GB2312"/>
          <w:color w:val="000000"/>
          <w:kern w:val="0"/>
          <w:sz w:val="32"/>
          <w:szCs w:val="32"/>
          <w:lang w:val="en-US" w:eastAsia="zh-CN" w:bidi="ar-SA"/>
        </w:rPr>
      </w:pPr>
      <w:r>
        <w:rPr>
          <w:rFonts w:hint="default" w:ascii="仿宋_GB2312" w:hAnsi="仿宋" w:eastAsia="仿宋_GB2312" w:cs="仿宋_GB2312"/>
          <w:color w:val="000000"/>
          <w:kern w:val="0"/>
          <w:sz w:val="32"/>
          <w:szCs w:val="32"/>
          <w:lang w:val="en-US" w:eastAsia="zh-CN" w:bidi="ar-SA"/>
        </w:rPr>
        <w:t>在全面推进乡村振兴上发力。一是立足园区核心区伊塘镇地方特色资源和产业，通过改造传统产业，发展新兴产业，逐步培育了优质稻种植、果蔬及粮油加工特色农业产业、商贸物流业、乡村旅游休闲观光业，农村产业得到融合发展。2023年伊塘镇成功上榜国家农业产业强镇。二是依托中国农科院红壤实验站孟公山黑木耳示范基地，辐射带动周边县区种植400亩及带动周边群众就业100余人。三是助力伊塘镇庙山村、龙井村、长木塘村完成基本农田改造，实现水稻规模化、现代化种植。四是助力驻点帮扶的新田县谈文溪村发展烤烟产业，帮助其引进投资280万元修建烤烟房和改善烟田基础设施,同时多次邀请市林科所专家到该村实地调研，在村里推广试种赤松茸，进一步扩宽产业发展路径。</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仿宋_GB2312" w:hAnsi="仿宋" w:eastAsia="仿宋_GB2312" w:cs="仿宋_GB2312"/>
          <w:color w:val="000000"/>
          <w:kern w:val="0"/>
          <w:sz w:val="32"/>
          <w:szCs w:val="32"/>
          <w:lang w:val="en-US" w:eastAsia="zh-CN" w:bidi="ar-SA"/>
        </w:rPr>
      </w:pPr>
      <w:r>
        <w:rPr>
          <w:rFonts w:hint="default" w:ascii="仿宋_GB2312" w:hAnsi="仿宋" w:eastAsia="仿宋_GB2312" w:cs="仿宋_GB2312"/>
          <w:color w:val="000000"/>
          <w:kern w:val="0"/>
          <w:sz w:val="32"/>
          <w:szCs w:val="32"/>
          <w:lang w:val="en-US" w:eastAsia="zh-CN" w:bidi="ar-SA"/>
        </w:rPr>
        <w:t>在破解发展难题上发力。一是盘活园区存量土地。积极协同冷水滩区政府依法处置原陈光标饮品项目211亩、原金桔尔物流项目144亩国有存量土地。二是积极协调妥善处理伊塘污水处理厂及配套管网PPP项目解约、项目退库后续事宜。三是联合伊塘镇政府积极协调海大集团投资1亿元的年产25万吨生物饲料项目建设过程中的复杂矛盾纠纷问题，全力保障项目建设。四是防范化解风险。为解决园区融资平台公司（永州农业高科技发展有限公司）的债务问题，积极协调平台公司合并整合到永州国际陆港集团，更好服务园区建设。</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lang w:val="en-US" w:eastAsia="zh-CN"/>
        </w:rPr>
        <w:t>3、</w:t>
      </w:r>
      <w:r>
        <w:rPr>
          <w:rFonts w:hint="eastAsia" w:ascii="Times New Roman" w:hAnsi="Times New Roman" w:eastAsia="仿宋_GB2312"/>
          <w:b/>
          <w:bCs/>
          <w:sz w:val="32"/>
          <w:szCs w:val="32"/>
          <w:lang w:eastAsia="zh-CN"/>
        </w:rPr>
        <w:t>湖南永州国家农业科技园区管理委员会</w:t>
      </w:r>
      <w:r>
        <w:rPr>
          <w:rFonts w:hint="eastAsia" w:ascii="Times New Roman" w:hAnsi="Times New Roman" w:eastAsia="仿宋_GB2312"/>
          <w:b/>
          <w:bCs/>
          <w:sz w:val="32"/>
          <w:szCs w:val="32"/>
        </w:rPr>
        <w:t>职责、行业发展规划</w:t>
      </w:r>
      <w:r>
        <w:rPr>
          <w:rFonts w:hint="eastAsia" w:ascii="Times New Roman" w:hAnsi="Times New Roman" w:eastAsia="仿宋_GB2312"/>
          <w:b/>
          <w:bCs/>
          <w:sz w:val="32"/>
          <w:szCs w:val="32"/>
          <w:lang w:eastAsia="zh-CN"/>
        </w:rPr>
        <w:t>。</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根据《关于湖南永州国家农业科技园区管理委员会的批复》（湘编办复字{2015}56号）和《中共永州市委常委办公会议纪要》（2016第6期）农科园单位主要职责包括：负责国家、省有关农业科技园区发展的法律、法规和政策的贯彻实施，落实市委、市政府的重要决策和工作部暑。根据全市国民经济和社会发展规划、土地利用总体规划，负责编制园区中长期发展规划和年度工作计划，经批准后组织实施。负责园区农业科技成果、先进实用技术的引进，示范、创新和推广，推进优质农产品标准化和产业化建设。负责组织园区各类科技项目申报、实施和农业高新技术企业的申报以及科技成果鉴定、验收、奖励。负责园区基础设施规划、建设和管理。负责园区建设融资和招商引资工作。负责园区与各类科研机构（院校）开晨合作交流，加强各类专业技术人才的引进、培训、培养工作。负责园区党务、群团、人事、人才、统计、审计、财务、国有资产管理、人力资源和社会保障、社会管理综合治理、安全生产监督、环境卫生等工作。承办市委、市政府交办的其他事项。</w:t>
      </w:r>
    </w:p>
    <w:p>
      <w:pPr>
        <w:pStyle w:val="13"/>
        <w:keepNext w:val="0"/>
        <w:keepLines w:val="0"/>
        <w:pageBreakBefore w:val="0"/>
        <w:widowControl w:val="0"/>
        <w:numPr>
          <w:ilvl w:val="0"/>
          <w:numId w:val="0"/>
        </w:numPr>
        <w:kinsoku/>
        <w:wordWrap/>
        <w:overflowPunct/>
        <w:topLinePunct w:val="0"/>
        <w:bidi w:val="0"/>
        <w:snapToGrid/>
        <w:spacing w:line="600" w:lineRule="exact"/>
        <w:ind w:leftChars="200"/>
        <w:jc w:val="left"/>
        <w:textAlignment w:val="auto"/>
        <w:rPr>
          <w:rFonts w:hint="eastAsia" w:ascii="Times New Roman" w:hAnsi="Times New Roman" w:eastAsia="仿宋_GB2312"/>
          <w:b/>
          <w:bCs/>
          <w:sz w:val="32"/>
          <w:szCs w:val="32"/>
          <w:lang w:eastAsia="zh-CN"/>
        </w:rPr>
      </w:pP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lang w:eastAsia="zh-CN"/>
        </w:rPr>
        <w:t>、</w:t>
      </w:r>
      <w:r>
        <w:rPr>
          <w:rFonts w:hint="eastAsia" w:ascii="Times New Roman" w:hAnsi="Times New Roman" w:eastAsia="仿宋_GB2312"/>
          <w:b/>
          <w:bCs/>
          <w:sz w:val="32"/>
          <w:szCs w:val="32"/>
        </w:rPr>
        <w:t>以预算资金管理为主线，</w:t>
      </w:r>
      <w:r>
        <w:rPr>
          <w:rFonts w:hint="eastAsia" w:ascii="Times New Roman" w:hAnsi="Times New Roman" w:eastAsia="仿宋_GB2312"/>
          <w:b/>
          <w:bCs/>
          <w:sz w:val="32"/>
          <w:szCs w:val="32"/>
          <w:lang w:eastAsia="zh-CN"/>
        </w:rPr>
        <w:t>湖南永州国家农业科技园区管理委员会</w:t>
      </w:r>
      <w:r>
        <w:rPr>
          <w:rFonts w:hint="eastAsia" w:ascii="Times New Roman" w:hAnsi="Times New Roman" w:eastAsia="仿宋_GB2312"/>
          <w:b/>
          <w:bCs/>
          <w:sz w:val="32"/>
          <w:szCs w:val="32"/>
        </w:rPr>
        <w:t>资产管理和开展业务情况</w:t>
      </w:r>
      <w:r>
        <w:rPr>
          <w:rFonts w:hint="eastAsia" w:ascii="Times New Roman" w:hAnsi="Times New Roman" w:eastAsia="仿宋_GB2312"/>
          <w:b/>
          <w:bCs/>
          <w:sz w:val="32"/>
          <w:szCs w:val="32"/>
          <w:lang w:eastAsia="zh-CN"/>
        </w:rPr>
        <w:t>。</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2023年，园区在市委、市政府的坚强领导下，以习近平新时代中国特色社会主义思想为指导，深入贯彻落实党的二十大精神，围绕红壤丘岗地区高效特色农业的发展主题，坚持“农业、科技、示范”的发展定位，以“小单元、多品种、强示范”的模式，全面推进一二三产业融合，为全市高质量发展提供坚强的农业科技支撑。</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截至202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lang w:eastAsia="zh-CN"/>
        </w:rPr>
        <w:t>年12月31日，农科园资产总计4</w:t>
      </w:r>
      <w:r>
        <w:rPr>
          <w:rFonts w:hint="eastAsia" w:ascii="Times New Roman" w:hAnsi="Times New Roman" w:eastAsia="仿宋_GB2312"/>
          <w:sz w:val="32"/>
          <w:szCs w:val="32"/>
          <w:lang w:val="en-US" w:eastAsia="zh-CN"/>
        </w:rPr>
        <w:t>13.45</w:t>
      </w:r>
      <w:r>
        <w:rPr>
          <w:rFonts w:hint="eastAsia" w:ascii="Times New Roman" w:hAnsi="Times New Roman" w:eastAsia="仿宋_GB2312"/>
          <w:sz w:val="32"/>
          <w:szCs w:val="32"/>
          <w:lang w:eastAsia="zh-CN"/>
        </w:rPr>
        <w:t>万元，其中资产包括流动资产</w:t>
      </w:r>
      <w:r>
        <w:rPr>
          <w:rFonts w:hint="eastAsia" w:ascii="Times New Roman" w:hAnsi="Times New Roman" w:eastAsia="仿宋_GB2312"/>
          <w:sz w:val="32"/>
          <w:szCs w:val="32"/>
          <w:lang w:val="en-US" w:eastAsia="zh-CN"/>
        </w:rPr>
        <w:t>7.14</w:t>
      </w:r>
      <w:r>
        <w:rPr>
          <w:rFonts w:hint="eastAsia" w:ascii="Times New Roman" w:hAnsi="Times New Roman" w:eastAsia="仿宋_GB2312"/>
          <w:sz w:val="32"/>
          <w:szCs w:val="32"/>
          <w:lang w:eastAsia="zh-CN"/>
        </w:rPr>
        <w:t>万元和非流动资产</w:t>
      </w:r>
      <w:r>
        <w:rPr>
          <w:rFonts w:hint="eastAsia" w:ascii="Times New Roman" w:hAnsi="Times New Roman" w:eastAsia="仿宋_GB2312"/>
          <w:sz w:val="32"/>
          <w:szCs w:val="32"/>
          <w:lang w:val="en-US" w:eastAsia="zh-CN"/>
        </w:rPr>
        <w:t>406.31</w:t>
      </w:r>
      <w:r>
        <w:rPr>
          <w:rFonts w:hint="eastAsia" w:ascii="Times New Roman" w:hAnsi="Times New Roman" w:eastAsia="仿宋_GB2312"/>
          <w:sz w:val="32"/>
          <w:szCs w:val="32"/>
          <w:lang w:eastAsia="zh-CN"/>
        </w:rPr>
        <w:t>万元。流动资产包括货币资金</w:t>
      </w:r>
      <w:r>
        <w:rPr>
          <w:rFonts w:hint="eastAsia" w:ascii="Times New Roman" w:hAnsi="Times New Roman" w:eastAsia="仿宋_GB2312"/>
          <w:sz w:val="32"/>
          <w:szCs w:val="32"/>
          <w:lang w:val="en-US" w:eastAsia="zh-CN"/>
        </w:rPr>
        <w:t>5.44</w:t>
      </w:r>
      <w:r>
        <w:rPr>
          <w:rFonts w:hint="eastAsia" w:ascii="Times New Roman" w:hAnsi="Times New Roman" w:eastAsia="仿宋_GB2312"/>
          <w:sz w:val="32"/>
          <w:szCs w:val="32"/>
          <w:lang w:eastAsia="zh-CN"/>
        </w:rPr>
        <w:t>万元，预付账款</w:t>
      </w:r>
      <w:r>
        <w:rPr>
          <w:rFonts w:hint="eastAsia" w:ascii="Times New Roman" w:hAnsi="Times New Roman" w:eastAsia="仿宋_GB2312"/>
          <w:sz w:val="32"/>
          <w:szCs w:val="32"/>
          <w:lang w:val="en-US" w:eastAsia="zh-CN"/>
        </w:rPr>
        <w:t>1.70万元</w:t>
      </w:r>
      <w:r>
        <w:rPr>
          <w:rFonts w:hint="eastAsia" w:ascii="Times New Roman" w:hAnsi="Times New Roman" w:eastAsia="仿宋_GB2312"/>
          <w:sz w:val="32"/>
          <w:szCs w:val="32"/>
          <w:lang w:eastAsia="zh-CN"/>
        </w:rPr>
        <w:t>。非流动资产包括固定资产净值</w:t>
      </w:r>
      <w:r>
        <w:rPr>
          <w:rFonts w:hint="eastAsia" w:ascii="Times New Roman" w:hAnsi="Times New Roman" w:eastAsia="仿宋_GB2312"/>
          <w:sz w:val="32"/>
          <w:szCs w:val="32"/>
          <w:lang w:val="en-US" w:eastAsia="zh-CN"/>
        </w:rPr>
        <w:t>9.86</w:t>
      </w:r>
      <w:r>
        <w:rPr>
          <w:rFonts w:hint="eastAsia" w:ascii="Times New Roman" w:hAnsi="Times New Roman" w:eastAsia="仿宋_GB2312"/>
          <w:sz w:val="32"/>
          <w:szCs w:val="32"/>
          <w:lang w:eastAsia="zh-CN"/>
        </w:rPr>
        <w:t>万元（固定资产原值</w:t>
      </w:r>
      <w:r>
        <w:rPr>
          <w:rFonts w:hint="eastAsia" w:ascii="Times New Roman" w:hAnsi="Times New Roman" w:eastAsia="仿宋_GB2312"/>
          <w:sz w:val="32"/>
          <w:szCs w:val="32"/>
          <w:lang w:val="en-US" w:eastAsia="zh-CN"/>
        </w:rPr>
        <w:t>64.42</w:t>
      </w:r>
      <w:r>
        <w:rPr>
          <w:rFonts w:hint="eastAsia" w:ascii="Times New Roman" w:hAnsi="Times New Roman" w:eastAsia="仿宋_GB2312"/>
          <w:sz w:val="32"/>
          <w:szCs w:val="32"/>
          <w:lang w:eastAsia="zh-CN"/>
        </w:rPr>
        <w:t>万元减累计折旧</w:t>
      </w:r>
      <w:r>
        <w:rPr>
          <w:rFonts w:hint="eastAsia" w:ascii="Times New Roman" w:hAnsi="Times New Roman" w:eastAsia="仿宋_GB2312"/>
          <w:sz w:val="32"/>
          <w:szCs w:val="32"/>
          <w:lang w:val="en-US" w:eastAsia="zh-CN"/>
        </w:rPr>
        <w:t>54.56</w:t>
      </w:r>
      <w:r>
        <w:rPr>
          <w:rFonts w:hint="eastAsia" w:ascii="Times New Roman" w:hAnsi="Times New Roman" w:eastAsia="仿宋_GB2312"/>
          <w:sz w:val="32"/>
          <w:szCs w:val="32"/>
          <w:lang w:eastAsia="zh-CN"/>
        </w:rPr>
        <w:t>万元）和污水处理厂土地（无形资产）净值396.45万元。</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农科园目前的资产资源主要有：</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lang w:eastAsia="zh-CN"/>
        </w:rPr>
        <w:t>市农科园伊塘污水处理厂及配套管网PPP项目用地，宗地面积为26666.67平方米，属性为公共设施用地，划拨价款为396.448万元。</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lang w:eastAsia="zh-CN"/>
        </w:rPr>
        <w:t>）.车辆：2019年6月经永州市公车改革办公务用车制度改革工作领导小组审定，同意我单位保留荣威牌轿车公务用车一辆。（该车辆主要负责异地办公、客商接待、文件档案接送）。</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lang w:eastAsia="zh-CN"/>
        </w:rPr>
        <w:t>）.存在的无形资源：园区获得国家、省、市授权的科研牌子；园区企业及企业所拥有的著名商标，拥有的科研技术中心所发明的各类科研项目、专利、引进和推广新技术、新品种、新设施;形成了以粮油加工、果蔬加工、天然辛香料萃取为龙头的农副产品精深加工业，以永州森林植物园为核心的乡村旅游休闲观光业，及园区开展的院园企合作。</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下一步，园区将按照“农业、科技、示范”的发展定位，坚持“小单元、多品种、强示范”的发展思路，进一步优化园区营商环境，努力做好农产品精深加工业、食品加工业特别是休闲食品，开辟种养殖业新赛道，培育壮大蛋鸡、水产等新品种，抓好农业招商，有针对性地引进一批研发、检测机构，不断推动园区高质量发展。</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lang w:val="en-US" w:eastAsia="zh-CN"/>
        </w:rPr>
        <w:t>5</w:t>
      </w:r>
      <w:r>
        <w:rPr>
          <w:rFonts w:hint="eastAsia" w:ascii="Times New Roman" w:hAnsi="Times New Roman" w:eastAsia="仿宋_GB2312"/>
          <w:b/>
          <w:bCs/>
          <w:sz w:val="32"/>
          <w:szCs w:val="32"/>
          <w:lang w:eastAsia="zh-CN"/>
        </w:rPr>
        <w:t>、</w:t>
      </w:r>
      <w:r>
        <w:rPr>
          <w:rFonts w:hint="eastAsia" w:ascii="Times New Roman" w:hAnsi="Times New Roman" w:eastAsia="仿宋_GB2312"/>
          <w:b/>
          <w:bCs/>
          <w:sz w:val="32"/>
          <w:szCs w:val="32"/>
        </w:rPr>
        <w:t>从运行成本、管理效率、履职效能、社会效应、可持续发展能力和服务对象满意度等方面，衡量部门</w:t>
      </w:r>
      <w:r>
        <w:rPr>
          <w:rFonts w:hint="eastAsia" w:ascii="Times New Roman" w:hAnsi="Times New Roman" w:eastAsia="仿宋_GB2312"/>
          <w:b/>
          <w:bCs/>
          <w:sz w:val="32"/>
          <w:szCs w:val="32"/>
          <w:lang w:eastAsia="zh-CN"/>
        </w:rPr>
        <w:t>湖南永州国家农业科技园区管理委员会</w:t>
      </w:r>
      <w:r>
        <w:rPr>
          <w:rFonts w:hint="eastAsia" w:ascii="Times New Roman" w:hAnsi="Times New Roman" w:eastAsia="仿宋_GB2312"/>
          <w:b/>
          <w:bCs/>
          <w:sz w:val="32"/>
          <w:szCs w:val="32"/>
        </w:rPr>
        <w:t>整体及核心业务实施效果</w:t>
      </w:r>
      <w:r>
        <w:rPr>
          <w:rFonts w:hint="eastAsia" w:ascii="Times New Roman" w:hAnsi="Times New Roman" w:eastAsia="仿宋_GB2312"/>
          <w:b/>
          <w:bCs/>
          <w:sz w:val="32"/>
          <w:szCs w:val="32"/>
          <w:lang w:eastAsia="zh-CN"/>
        </w:rPr>
        <w:t>。</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运行成本：湖南永州国家农业科技园区管理委员会在职人员控制率</w:t>
      </w:r>
      <w:r>
        <w:rPr>
          <w:rFonts w:hint="eastAsia" w:ascii="Times New Roman" w:hAnsi="Times New Roman" w:eastAsia="仿宋_GB2312"/>
          <w:sz w:val="32"/>
          <w:szCs w:val="32"/>
          <w:lang w:val="en-US" w:eastAsia="zh-CN"/>
        </w:rPr>
        <w:t>53.45</w:t>
      </w:r>
      <w:r>
        <w:rPr>
          <w:rFonts w:hint="eastAsia" w:ascii="Times New Roman" w:hAnsi="Times New Roman" w:eastAsia="仿宋_GB2312"/>
          <w:sz w:val="32"/>
          <w:szCs w:val="32"/>
          <w:lang w:eastAsia="zh-CN"/>
        </w:rPr>
        <w:t>%，部门预算完成率100%，公用经费控制率100%，“三公经费”控制率100%，运行成本控制较好。</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管理效率：湖南永州国家农业科技园区管理委员会内部管理制度基本健全，资金使用基本合规，预决算公开及时，基础信息完善，资产管理基本有效，部门管理效率较高。</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履职效能：永州国家农业科技园区以习近平新时代中国特色社会主义思想为指导，深入贯彻落实市委市政府决策部署，统筹做好经济发展、疫情防控、安全生产工作，全力办好发展经济这个最大实事，全年园区企业生产提速明显，企业效益持续改善，主要经济指标增速稳定，运行态势总体稳中向好，为加快建设“三区两城”，着力构建“一核两轴三圈”区域经济格局，推动全市高质量发展贡献园区力量，部门履职效能明显。</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社会效应：切实发挥好引领现代农业、促进科技成果转化、培育发展新动能的“加速器”和“孵化器”作用。今年大力引进永州新奥燃气公司投资3000万元入园建设天然气管网项目，为企业解决用气难问题，进一步提高园区的基础配套条件和项目承载能力。另外积极对接市直部门争取将园区污水提升泵站及配套管网项目纳入河东污水处理厂项目，保障园区企业排污需求，从源头上减少污水对环境的污染。</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可持续发展能力：立足园区核心区伊塘镇地方特色资源和产业，通过改造传统产业，发展新兴产业，逐步培育了优质稻种植、果蔬及粮油加工特色农业产业、商贸物流业、乡村旅游休闲观光业，农村产业得到融合发展。</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服务对象满意度：引进永州新奥燃气公司投资3000万元入园建设天然气管网项目，为企业解决用气难问题；立足园区的资源禀赋和农业发展基础,不断建链补链延链强链；因地制宜鼓励村民发展特色苗木产业，带动村民就业等等，极大增强了广大服务对象的获得感和幸福感，实地调查服务对象满意度9</w:t>
      </w: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lang w:eastAsia="zh-CN"/>
        </w:rPr>
        <w:t>%。</w:t>
      </w:r>
    </w:p>
    <w:p>
      <w:pPr>
        <w:pStyle w:val="13"/>
        <w:keepNext w:val="0"/>
        <w:keepLines w:val="0"/>
        <w:pageBreakBefore w:val="0"/>
        <w:widowControl w:val="0"/>
        <w:numPr>
          <w:ilvl w:val="0"/>
          <w:numId w:val="1"/>
        </w:numPr>
        <w:kinsoku/>
        <w:wordWrap/>
        <w:overflowPunct/>
        <w:topLinePunct w:val="0"/>
        <w:autoSpaceDE w:val="0"/>
        <w:autoSpaceDN w:val="0"/>
        <w:bidi w:val="0"/>
        <w:adjustRightInd w:val="0"/>
        <w:snapToGrid/>
        <w:spacing w:line="580" w:lineRule="exact"/>
        <w:ind w:left="0" w:leftChars="0"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rPr>
        <w:t>存在的问题及原因分析</w:t>
      </w:r>
    </w:p>
    <w:p>
      <w:pPr>
        <w:pStyle w:val="13"/>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b/>
          <w:bCs/>
          <w:sz w:val="32"/>
          <w:szCs w:val="32"/>
          <w:lang w:eastAsia="zh-CN"/>
        </w:rPr>
      </w:pPr>
      <w:r>
        <w:rPr>
          <w:rFonts w:hint="eastAsia" w:ascii="Times New Roman" w:hAnsi="Times New Roman" w:eastAsia="仿宋_GB2312"/>
          <w:b/>
          <w:bCs/>
          <w:sz w:val="32"/>
          <w:szCs w:val="32"/>
          <w:lang w:val="en-US" w:eastAsia="zh-CN"/>
        </w:rPr>
        <w:t>1</w:t>
      </w:r>
      <w:r>
        <w:rPr>
          <w:rFonts w:hint="eastAsia" w:ascii="Times New Roman" w:hAnsi="Times New Roman" w:eastAsia="仿宋_GB2312"/>
          <w:b/>
          <w:bCs/>
          <w:sz w:val="32"/>
          <w:szCs w:val="32"/>
          <w:lang w:eastAsia="zh-CN"/>
        </w:rPr>
        <w:t>、</w:t>
      </w:r>
      <w:r>
        <w:rPr>
          <w:rFonts w:hint="eastAsia" w:ascii="Times New Roman" w:hAnsi="Times New Roman" w:eastAsia="仿宋_GB2312"/>
          <w:b/>
          <w:bCs/>
          <w:sz w:val="32"/>
          <w:szCs w:val="32"/>
        </w:rPr>
        <w:t>从预算和预算绩效管理，部门履职效能，资金分配、使用和管理，资产和财务管理、政府采购等方面归纳存在的问题</w:t>
      </w:r>
      <w:r>
        <w:rPr>
          <w:rFonts w:hint="eastAsia" w:ascii="Times New Roman" w:hAnsi="Times New Roman" w:eastAsia="仿宋_GB2312"/>
          <w:b/>
          <w:bCs/>
          <w:sz w:val="32"/>
          <w:szCs w:val="32"/>
          <w:lang w:eastAsia="zh-CN"/>
        </w:rPr>
        <w:t>。</w:t>
      </w:r>
    </w:p>
    <w:p>
      <w:pPr>
        <w:ind w:firstLine="640" w:firstLineChars="200"/>
        <w:rPr>
          <w:rFonts w:hint="eastAsia" w:ascii="Times New Roman" w:hAnsi="Times New Roman" w:eastAsia="仿宋_GB2312" w:cs="黑体"/>
          <w:b w:val="0"/>
          <w:bCs w:val="0"/>
          <w:color w:val="000000"/>
          <w:kern w:val="0"/>
          <w:sz w:val="32"/>
          <w:szCs w:val="32"/>
          <w:lang w:val="en-US" w:eastAsia="zh-CN" w:bidi="ar-SA"/>
        </w:rPr>
      </w:pPr>
      <w:r>
        <w:rPr>
          <w:rFonts w:hint="eastAsia" w:ascii="Times New Roman" w:hAnsi="Times New Roman" w:eastAsia="仿宋_GB2312" w:cs="黑体"/>
          <w:b w:val="0"/>
          <w:bCs w:val="0"/>
          <w:color w:val="000000"/>
          <w:kern w:val="0"/>
          <w:sz w:val="32"/>
          <w:szCs w:val="32"/>
          <w:lang w:val="en-US" w:eastAsia="zh-CN" w:bidi="ar-SA"/>
        </w:rPr>
        <w:t>（1）预算管理制度不够完善，年初预算不够精细，尚未建立规范的预算制度和标准化管理体系。</w:t>
      </w:r>
    </w:p>
    <w:p>
      <w:pPr>
        <w:ind w:firstLine="640" w:firstLineChars="200"/>
        <w:rPr>
          <w:rFonts w:hint="eastAsia" w:ascii="Times New Roman" w:hAnsi="Times New Roman" w:eastAsia="仿宋_GB2312" w:cs="黑体"/>
          <w:b w:val="0"/>
          <w:bCs w:val="0"/>
          <w:color w:val="000000"/>
          <w:kern w:val="0"/>
          <w:sz w:val="32"/>
          <w:szCs w:val="32"/>
          <w:lang w:val="en-US" w:eastAsia="zh-CN" w:bidi="ar-SA"/>
        </w:rPr>
      </w:pPr>
      <w:r>
        <w:rPr>
          <w:rFonts w:hint="eastAsia" w:ascii="Times New Roman" w:hAnsi="Times New Roman" w:eastAsia="仿宋_GB2312" w:cs="黑体"/>
          <w:b w:val="0"/>
          <w:bCs w:val="0"/>
          <w:color w:val="000000"/>
          <w:kern w:val="0"/>
          <w:sz w:val="32"/>
          <w:szCs w:val="32"/>
          <w:lang w:val="en-US" w:eastAsia="zh-CN" w:bidi="ar-SA"/>
        </w:rPr>
        <w:t>（2）内控制度需进一步完善，随着资金管理改革的进一步推进，我单位内部机构进行了相应的优化，建立健全了财务管理制度、费用报销规程等制度，但仍需进一步强化财务约束监督体制。</w:t>
      </w:r>
    </w:p>
    <w:p>
      <w:pPr>
        <w:ind w:firstLine="640" w:firstLineChars="200"/>
        <w:rPr>
          <w:rFonts w:hint="eastAsia" w:ascii="Times New Roman" w:hAnsi="Times New Roman" w:eastAsia="仿宋_GB2312" w:cs="黑体"/>
          <w:b w:val="0"/>
          <w:bCs w:val="0"/>
          <w:color w:val="000000"/>
          <w:kern w:val="0"/>
          <w:sz w:val="32"/>
          <w:szCs w:val="32"/>
          <w:lang w:val="en-US" w:eastAsia="zh-CN" w:bidi="ar-SA"/>
        </w:rPr>
      </w:pPr>
      <w:r>
        <w:rPr>
          <w:rFonts w:hint="eastAsia" w:ascii="Times New Roman" w:hAnsi="Times New Roman" w:eastAsia="仿宋_GB2312" w:cs="黑体"/>
          <w:b w:val="0"/>
          <w:bCs w:val="0"/>
          <w:color w:val="000000"/>
          <w:kern w:val="0"/>
          <w:sz w:val="32"/>
          <w:szCs w:val="32"/>
          <w:lang w:val="en-US" w:eastAsia="zh-CN" w:bidi="ar-SA"/>
        </w:rPr>
        <w:t>（3）预算编制不够明确和细化，预算编制的合理性需要提高，预算执行力度还要进一步加强。资金使用效益有待进一步提高，绩效目标设立不够明确、细化和量化。</w:t>
      </w:r>
    </w:p>
    <w:p>
      <w:pPr>
        <w:ind w:firstLine="640" w:firstLineChars="200"/>
        <w:rPr>
          <w:rFonts w:hint="default" w:ascii="Times New Roman" w:hAnsi="Times New Roman" w:eastAsia="仿宋_GB2312" w:cs="黑体"/>
          <w:b w:val="0"/>
          <w:bCs w:val="0"/>
          <w:color w:val="000000"/>
          <w:kern w:val="0"/>
          <w:sz w:val="32"/>
          <w:szCs w:val="32"/>
          <w:lang w:val="en-US" w:eastAsia="zh-CN" w:bidi="ar-SA"/>
        </w:rPr>
      </w:pPr>
      <w:r>
        <w:rPr>
          <w:rFonts w:hint="eastAsia" w:ascii="Times New Roman" w:hAnsi="Times New Roman" w:eastAsia="仿宋_GB2312" w:cs="黑体"/>
          <w:b w:val="0"/>
          <w:bCs w:val="0"/>
          <w:color w:val="000000"/>
          <w:kern w:val="0"/>
          <w:sz w:val="32"/>
          <w:szCs w:val="32"/>
          <w:lang w:val="en-US" w:eastAsia="zh-CN" w:bidi="ar-SA"/>
        </w:rPr>
        <w:t>（4）基本能按照当年的预算使用各类资金。但有时根据上级或政府临时工作安排，增加不可预见的临时性工作任务，需追加预算，产生预算与实际执行的存在一定的差距。</w:t>
      </w:r>
    </w:p>
    <w:p>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jc w:val="left"/>
        <w:textAlignment w:val="auto"/>
        <w:rPr>
          <w:rFonts w:hint="eastAsia" w:ascii="Times New Roman" w:hAnsi="Times New Roman" w:eastAsia="仿宋_GB2312"/>
          <w:b/>
          <w:bCs/>
          <w:sz w:val="32"/>
          <w:szCs w:val="32"/>
        </w:rPr>
      </w:pPr>
      <w:r>
        <w:rPr>
          <w:rFonts w:hint="eastAsia" w:ascii="Times New Roman" w:hAnsi="Times New Roman" w:eastAsia="仿宋_GB2312"/>
          <w:b/>
          <w:bCs/>
          <w:sz w:val="32"/>
          <w:szCs w:val="32"/>
          <w:lang w:val="en-US" w:eastAsia="zh-CN"/>
        </w:rPr>
        <w:t>2、</w:t>
      </w:r>
      <w:r>
        <w:rPr>
          <w:rFonts w:hint="eastAsia" w:ascii="Times New Roman" w:hAnsi="Times New Roman" w:eastAsia="仿宋_GB2312"/>
          <w:b/>
          <w:bCs/>
          <w:sz w:val="32"/>
          <w:szCs w:val="32"/>
        </w:rPr>
        <w:t>反映各种预算支出执行偏离绩效目标的情况，并分析其原因。</w:t>
      </w:r>
    </w:p>
    <w:p>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jc w:val="left"/>
        <w:textAlignment w:val="auto"/>
        <w:rPr>
          <w:rFonts w:hint="eastAsia" w:ascii="Times New Roman" w:hAnsi="Times New Roman" w:eastAsia="仿宋_GB2312" w:cs="黑体"/>
          <w:b w:val="0"/>
          <w:bCs w:val="0"/>
          <w:color w:val="000000"/>
          <w:kern w:val="0"/>
          <w:sz w:val="32"/>
          <w:szCs w:val="32"/>
          <w:lang w:val="en-US" w:eastAsia="zh-CN" w:bidi="ar-SA"/>
        </w:rPr>
      </w:pPr>
      <w:r>
        <w:rPr>
          <w:rFonts w:hint="eastAsia" w:ascii="Times New Roman" w:hAnsi="Times New Roman" w:eastAsia="仿宋_GB2312" w:cs="黑体"/>
          <w:b w:val="0"/>
          <w:bCs w:val="0"/>
          <w:color w:val="000000"/>
          <w:kern w:val="0"/>
          <w:sz w:val="32"/>
          <w:szCs w:val="32"/>
          <w:lang w:val="en-US" w:eastAsia="zh-CN" w:bidi="ar-SA"/>
        </w:rPr>
        <w:t>（1）有绩效目标，但缺少有效的绩效计划来支持前者的实现，没有切实可行的绩效计划和资源计划的支撑，绩效目标是难以实现的，很容易形成工作与目标的脱节。</w:t>
      </w:r>
    </w:p>
    <w:p>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jc w:val="left"/>
        <w:textAlignment w:val="auto"/>
        <w:rPr>
          <w:rFonts w:hint="eastAsia" w:ascii="Times New Roman" w:hAnsi="Times New Roman" w:eastAsia="仿宋_GB2312" w:cs="黑体"/>
          <w:b w:val="0"/>
          <w:bCs w:val="0"/>
          <w:color w:val="000000"/>
          <w:kern w:val="0"/>
          <w:sz w:val="32"/>
          <w:szCs w:val="32"/>
          <w:lang w:val="en-US" w:eastAsia="zh-CN" w:bidi="ar-SA"/>
        </w:rPr>
      </w:pPr>
      <w:r>
        <w:rPr>
          <w:rFonts w:hint="eastAsia" w:ascii="Times New Roman" w:hAnsi="Times New Roman" w:eastAsia="仿宋_GB2312" w:cs="黑体"/>
          <w:b w:val="0"/>
          <w:bCs w:val="0"/>
          <w:color w:val="000000"/>
          <w:kern w:val="0"/>
          <w:sz w:val="32"/>
          <w:szCs w:val="32"/>
          <w:lang w:val="en-US" w:eastAsia="zh-CN" w:bidi="ar-SA"/>
        </w:rPr>
        <w:t>（2）预算编制的口径与实际执行出现误差。按照现行的预算编制原则，人员经费和日常公用经费都是按照上年度十二月份的工资表反映的人数安排，而实际执行中单位工作人员往往有变动或流动。</w:t>
      </w:r>
    </w:p>
    <w:p>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jc w:val="left"/>
        <w:textAlignment w:val="auto"/>
        <w:rPr>
          <w:rFonts w:hint="eastAsia" w:ascii="Times New Roman" w:hAnsi="Times New Roman" w:eastAsia="仿宋_GB2312" w:cs="黑体"/>
          <w:b w:val="0"/>
          <w:bCs w:val="0"/>
          <w:color w:val="000000"/>
          <w:kern w:val="0"/>
          <w:sz w:val="32"/>
          <w:szCs w:val="32"/>
          <w:lang w:val="en-US" w:eastAsia="zh-CN" w:bidi="ar-SA"/>
        </w:rPr>
      </w:pPr>
      <w:r>
        <w:rPr>
          <w:rFonts w:hint="eastAsia" w:ascii="Times New Roman" w:hAnsi="Times New Roman" w:eastAsia="仿宋_GB2312" w:cs="黑体"/>
          <w:b w:val="0"/>
          <w:bCs w:val="0"/>
          <w:color w:val="000000"/>
          <w:kern w:val="0"/>
          <w:sz w:val="32"/>
          <w:szCs w:val="32"/>
          <w:lang w:val="en-US" w:eastAsia="zh-CN" w:bidi="ar-SA"/>
        </w:rPr>
        <w:t>（3）预算编制的分类和实行执行出现脱节。预算编制的功能分类与经济分类不够细化，而实际支出中的情况更加多元化和明细化，出现了分类不一致的情况。</w:t>
      </w:r>
    </w:p>
    <w:p>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jc w:val="left"/>
        <w:textAlignment w:val="auto"/>
        <w:rPr>
          <w:rFonts w:hint="eastAsia" w:ascii="Times New Roman" w:hAnsi="Times New Roman" w:eastAsia="仿宋_GB2312" w:cs="黑体"/>
          <w:b w:val="0"/>
          <w:bCs w:val="0"/>
          <w:color w:val="000000"/>
          <w:kern w:val="0"/>
          <w:sz w:val="32"/>
          <w:szCs w:val="32"/>
          <w:lang w:val="en-US" w:eastAsia="zh-CN" w:bidi="ar-SA"/>
        </w:rPr>
      </w:pPr>
      <w:r>
        <w:rPr>
          <w:rFonts w:hint="eastAsia" w:ascii="Times New Roman" w:hAnsi="Times New Roman" w:eastAsia="仿宋_GB2312" w:cs="黑体"/>
          <w:b w:val="0"/>
          <w:bCs w:val="0"/>
          <w:color w:val="000000"/>
          <w:kern w:val="0"/>
          <w:sz w:val="32"/>
          <w:szCs w:val="32"/>
          <w:lang w:val="en-US" w:eastAsia="zh-CN" w:bidi="ar-SA"/>
        </w:rPr>
        <w:t>（4））部门整体支出不能很好的对比支出与成果，投入与产出效果，进而很难有针对性的发现问题，分析问题，提出解决方案。</w:t>
      </w:r>
    </w:p>
    <w:p>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580" w:lineRule="exact"/>
        <w:ind w:leftChars="200"/>
        <w:jc w:val="left"/>
        <w:textAlignment w:val="auto"/>
        <w:rPr>
          <w:rFonts w:hint="eastAsia" w:ascii="楷体" w:hAnsi="楷体" w:eastAsia="楷体" w:cs="楷体"/>
          <w:b/>
          <w:bCs/>
          <w:sz w:val="32"/>
          <w:szCs w:val="3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both"/>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both"/>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pPr>
        <w:keepNext w:val="0"/>
        <w:keepLines w:val="0"/>
        <w:pageBreakBefore w:val="0"/>
        <w:widowControl/>
        <w:numPr>
          <w:ilvl w:val="0"/>
          <w:numId w:val="3"/>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财政拨款收入：指财政当年拨付的资金，主要包括一般公共预算财政拨款，政府性基金预算财政拨款，国有资本经营预算财政拨款。</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二、上级补助收入：指事业单位从主管部门和上级单位取得的非财政补助收入。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三、事业收入：指事业单位开展专业业务活动及辅助活动所取得的收入。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四、经营收入：指事业单位在专业业务活动及其辅助活动之外开展非独立核算经营活动取得的收入。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五、附属单位上缴收入：指事业单位附属独立核算单位按照有关规定上缴的收入。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六、其他收入：指除上述“财政拨款收入”、“事业收入”、“经营收入”等以外的收入。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七、基本支出：指为保障机构正常运转、完成日常工作任务而发生的各项支出，包括人员支出和公用支出。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八、项目支出：指在基本支出以外为完成相关行政任务和事业发展目标所发生的各项支出。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九、“三公”经费：指通过财政拨款资金安排的因公出国（境）费、公务用车购置及运行费和公务接待费支出。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机关运行经费：是指各部门的公用经费，包括办公及印刷费、邮电费、差旅费、会议费、福利费、日常维修费、专用材料及一般设备购置费、办公用房水电费、办公用房取暖费、办公用房物业管理费、公务用车运行维护费以及其他费用。</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黑体"/>
          <w:b/>
          <w:bCs/>
          <w:color w:val="FF0000"/>
          <w:kern w:val="0"/>
          <w:sz w:val="32"/>
          <w:szCs w:val="32"/>
          <w:lang w:val="en-US" w:eastAsia="zh-CN" w:bidi="ar-SA"/>
        </w:rPr>
      </w:pP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黑体"/>
          <w:b/>
          <w:bCs/>
          <w:color w:val="FF0000"/>
          <w:kern w:val="0"/>
          <w:sz w:val="32"/>
          <w:szCs w:val="32"/>
          <w:lang w:val="en-US" w:eastAsia="zh-CN" w:bidi="ar-SA"/>
        </w:rPr>
      </w:pP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黑体"/>
          <w:b/>
          <w:bCs/>
          <w:color w:val="FF0000"/>
          <w:kern w:val="0"/>
          <w:sz w:val="32"/>
          <w:szCs w:val="32"/>
          <w:lang w:val="en-US" w:eastAsia="zh-CN" w:bidi="ar-SA"/>
        </w:rPr>
      </w:pP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黑体"/>
          <w:b/>
          <w:bCs/>
          <w:color w:val="FF0000"/>
          <w:kern w:val="0"/>
          <w:sz w:val="32"/>
          <w:szCs w:val="32"/>
          <w:lang w:val="en-US" w:eastAsia="zh-CN" w:bidi="ar-SA"/>
        </w:rPr>
      </w:pP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黑体"/>
          <w:b/>
          <w:bCs/>
          <w:color w:val="FF0000"/>
          <w:kern w:val="0"/>
          <w:sz w:val="32"/>
          <w:szCs w:val="32"/>
          <w:lang w:val="en-US" w:eastAsia="zh-CN" w:bidi="ar-SA"/>
        </w:rPr>
      </w:pP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黑体"/>
          <w:b/>
          <w:bCs/>
          <w:color w:val="FF0000"/>
          <w:kern w:val="0"/>
          <w:sz w:val="32"/>
          <w:szCs w:val="32"/>
          <w:lang w:val="en-US" w:eastAsia="zh-CN" w:bidi="ar-SA"/>
        </w:rPr>
      </w:pP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黑体"/>
          <w:b/>
          <w:bCs/>
          <w:color w:val="FF0000"/>
          <w:kern w:val="0"/>
          <w:sz w:val="32"/>
          <w:szCs w:val="32"/>
          <w:lang w:val="en-US" w:eastAsia="zh-CN" w:bidi="ar-SA"/>
        </w:rPr>
      </w:pP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黑体"/>
          <w:b/>
          <w:bCs/>
          <w:color w:val="FF0000"/>
          <w:kern w:val="0"/>
          <w:sz w:val="32"/>
          <w:szCs w:val="32"/>
          <w:lang w:val="en-US" w:eastAsia="zh-CN" w:bidi="ar-SA"/>
        </w:rPr>
      </w:pP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黑体"/>
          <w:b/>
          <w:bCs/>
          <w:color w:val="FF0000"/>
          <w:kern w:val="0"/>
          <w:sz w:val="32"/>
          <w:szCs w:val="32"/>
          <w:lang w:val="en-US" w:eastAsia="zh-CN" w:bidi="ar-SA"/>
        </w:rPr>
      </w:pP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黑体"/>
          <w:b/>
          <w:bCs/>
          <w:color w:val="FF0000"/>
          <w:kern w:val="0"/>
          <w:sz w:val="32"/>
          <w:szCs w:val="32"/>
          <w:lang w:val="en-US" w:eastAsia="zh-CN" w:bidi="ar-SA"/>
        </w:rPr>
      </w:pP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黑体"/>
          <w:b/>
          <w:bCs/>
          <w:color w:val="FF0000"/>
          <w:kern w:val="0"/>
          <w:sz w:val="32"/>
          <w:szCs w:val="32"/>
          <w:lang w:val="en-US" w:eastAsia="zh-CN" w:bidi="ar-SA"/>
        </w:rPr>
      </w:pP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黑体"/>
          <w:b/>
          <w:bCs/>
          <w:color w:val="FF0000"/>
          <w:kern w:val="0"/>
          <w:sz w:val="32"/>
          <w:szCs w:val="32"/>
          <w:lang w:val="en-US" w:eastAsia="zh-CN" w:bidi="ar-SA"/>
        </w:rPr>
      </w:pP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黑体"/>
          <w:b/>
          <w:bCs/>
          <w:color w:val="FF0000"/>
          <w:kern w:val="0"/>
          <w:sz w:val="32"/>
          <w:szCs w:val="32"/>
          <w:lang w:val="en-US" w:eastAsia="zh-CN" w:bidi="ar-SA"/>
        </w:rPr>
      </w:pPr>
    </w:p>
    <w:p>
      <w:pPr>
        <w:pStyle w:val="13"/>
        <w:keepNext w:val="0"/>
        <w:keepLines w:val="0"/>
        <w:pageBreakBefore w:val="0"/>
        <w:widowControl w:val="0"/>
        <w:kinsoku/>
        <w:wordWrap/>
        <w:overflowPunct/>
        <w:topLinePunct w:val="0"/>
        <w:bidi w:val="0"/>
        <w:snapToGrid/>
        <w:spacing w:line="600" w:lineRule="exact"/>
        <w:textAlignment w:val="auto"/>
        <w:rPr>
          <w:rFonts w:hint="eastAsia" w:ascii="Times New Roman" w:hAnsi="Times New Roman" w:eastAsia="仿宋_GB2312" w:cs="黑体"/>
          <w:b/>
          <w:bCs/>
          <w:color w:val="FF0000"/>
          <w:kern w:val="0"/>
          <w:sz w:val="32"/>
          <w:szCs w:val="32"/>
          <w:lang w:val="en-US" w:eastAsia="zh-CN" w:bidi="ar-SA"/>
        </w:rPr>
      </w:pP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黑体"/>
          <w:b/>
          <w:bCs/>
          <w:color w:val="FF0000"/>
          <w:kern w:val="0"/>
          <w:sz w:val="32"/>
          <w:szCs w:val="32"/>
          <w:lang w:val="en-US" w:eastAsia="zh-CN" w:bidi="ar-SA"/>
        </w:rPr>
      </w:pPr>
    </w:p>
    <w:p>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pPr>
        <w:pStyle w:val="13"/>
        <w:jc w:val="center"/>
        <w:rPr>
          <w:rFonts w:hint="eastAsia" w:ascii="方正小标宋_GBK" w:hAnsi="方正小标宋_GBK" w:eastAsia="方正小标宋_GBK" w:cs="方正小标宋_GBK"/>
          <w:sz w:val="70"/>
          <w:szCs w:val="70"/>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pPr>
        <w:pStyle w:val="13"/>
        <w:jc w:val="center"/>
        <w:rPr>
          <w:rFonts w:hint="eastAsia" w:ascii="方正小标宋_GBK" w:hAnsi="方正小标宋_GBK" w:eastAsia="方正小标宋_GBK" w:cs="方正小标宋_GBK"/>
          <w:sz w:val="70"/>
          <w:szCs w:val="70"/>
          <w:lang w:eastAsia="zh-CN"/>
        </w:rPr>
      </w:pPr>
    </w:p>
    <w:p>
      <w:pPr>
        <w:pStyle w:val="13"/>
        <w:jc w:val="center"/>
        <w:rPr>
          <w:rFonts w:hint="eastAsia" w:ascii="Times New Roman" w:hAnsi="Times New Roman" w:eastAsia="仿宋_GB2312"/>
          <w:sz w:val="32"/>
          <w:szCs w:val="32"/>
          <w:lang w:val="en-US" w:eastAsia="zh-CN"/>
        </w:rPr>
      </w:pPr>
    </w:p>
    <w:p>
      <w:pPr>
        <w:pStyle w:val="13"/>
        <w:jc w:val="center"/>
        <w:rPr>
          <w:rFonts w:hint="eastAsia" w:ascii="Times New Roman" w:hAnsi="Times New Roman" w:eastAsia="仿宋_GB2312"/>
          <w:sz w:val="32"/>
          <w:szCs w:val="32"/>
          <w:lang w:val="en-US" w:eastAsia="zh-CN"/>
        </w:rPr>
      </w:pPr>
    </w:p>
    <w:p>
      <w:pPr>
        <w:pStyle w:val="13"/>
        <w:jc w:val="center"/>
        <w:rPr>
          <w:rFonts w:hint="eastAsia" w:ascii="Times New Roman" w:hAnsi="Times New Roman" w:eastAsia="仿宋_GB2312"/>
          <w:sz w:val="32"/>
          <w:szCs w:val="32"/>
          <w:lang w:val="en-US" w:eastAsia="zh-CN"/>
        </w:rPr>
      </w:pPr>
    </w:p>
    <w:p>
      <w:pPr>
        <w:pStyle w:val="13"/>
        <w:jc w:val="center"/>
        <w:rPr>
          <w:rFonts w:hint="eastAsia" w:ascii="Times New Roman" w:hAnsi="Times New Roman" w:eastAsia="仿宋_GB2312"/>
          <w:sz w:val="32"/>
          <w:szCs w:val="32"/>
          <w:lang w:val="en-US" w:eastAsia="zh-CN"/>
        </w:rPr>
      </w:pPr>
    </w:p>
    <w:p>
      <w:pPr>
        <w:pStyle w:val="13"/>
        <w:jc w:val="center"/>
        <w:rPr>
          <w:rFonts w:hint="eastAsia" w:ascii="Times New Roman" w:hAnsi="Times New Roman" w:eastAsia="仿宋_GB2312"/>
          <w:sz w:val="32"/>
          <w:szCs w:val="32"/>
          <w:lang w:val="en-US" w:eastAsia="zh-CN"/>
        </w:rPr>
      </w:pPr>
    </w:p>
    <w:p>
      <w:pPr>
        <w:pStyle w:val="13"/>
        <w:jc w:val="center"/>
        <w:rPr>
          <w:rFonts w:hint="eastAsia" w:ascii="Times New Roman" w:hAnsi="Times New Roman" w:eastAsia="仿宋_GB2312"/>
          <w:sz w:val="32"/>
          <w:szCs w:val="32"/>
          <w:lang w:val="en-US" w:eastAsia="zh-CN"/>
        </w:rPr>
      </w:pPr>
    </w:p>
    <w:p>
      <w:pPr>
        <w:pStyle w:val="13"/>
        <w:jc w:val="center"/>
        <w:rPr>
          <w:rFonts w:hint="eastAsia" w:ascii="Times New Roman" w:hAnsi="Times New Roman" w:eastAsia="仿宋_GB2312"/>
          <w:sz w:val="32"/>
          <w:szCs w:val="32"/>
          <w:lang w:val="en-US" w:eastAsia="zh-CN"/>
        </w:rPr>
      </w:pPr>
    </w:p>
    <w:p>
      <w:pPr>
        <w:pStyle w:val="13"/>
        <w:jc w:val="center"/>
        <w:rPr>
          <w:rFonts w:hint="eastAsia" w:ascii="Times New Roman" w:hAnsi="Times New Roman" w:eastAsia="仿宋_GB2312"/>
          <w:sz w:val="32"/>
          <w:szCs w:val="32"/>
          <w:lang w:val="en-US" w:eastAsia="zh-CN"/>
        </w:rPr>
      </w:pP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2023年度</w:t>
      </w:r>
      <w:r>
        <w:rPr>
          <w:rFonts w:hint="eastAsia" w:ascii="方正小标宋简体" w:hAnsi="方正小标宋简体" w:eastAsia="方正小标宋简体" w:cs="方正小标宋简体"/>
          <w:sz w:val="44"/>
          <w:szCs w:val="44"/>
          <w:lang w:eastAsia="zh-CN"/>
        </w:rPr>
        <w:t>（单位全称）</w:t>
      </w:r>
      <w:r>
        <w:rPr>
          <w:rFonts w:hint="eastAsia" w:ascii="方正小标宋简体" w:hAnsi="方正小标宋简体" w:eastAsia="方正小标宋简体" w:cs="方正小标宋简体"/>
          <w:sz w:val="44"/>
          <w:szCs w:val="44"/>
        </w:rPr>
        <w:t>整体支出</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绩效自评报告</w:t>
      </w:r>
    </w:p>
    <w:p>
      <w:pPr>
        <w:pStyle w:val="2"/>
        <w:numPr>
          <w:ilvl w:val="0"/>
          <w:numId w:val="4"/>
        </w:numPr>
        <w:ind w:firstLine="960" w:firstLineChars="300"/>
        <w:rPr>
          <w:rFonts w:hint="eastAsia"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rPr>
        <w:t>部门基本情况</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（一）单位职能职责、机构编制、人员构成等</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1.单位简介</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关于湖南永州国家农业科技园区管理委员会的批复》(湘编办复字(2015)56号)和《中共永州市委常委办公会议纪要》(2016第6期)精神,按照“精简、统一、效能”原则,设立中共湖南永州国家农业科技园区工作委员会、湖南永州国家农业科技园区管理委员会(以下简称市农科园党工委、市农科园管委会),分别作为中共永州市委、永州市人民政府的派出机构,合暑办公,对园区实行统一领导、统一规划、统一管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2.主要职责</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（1）负责国家、省有关农业科技园区发展的法律、法规和政策的贯彻实施,落实市委、市政府的重要决策和工作部署；</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（2）根据全市国民经济和社会发展规划、土地利用总体规划,负责编制园区中长期发展规划和年度工作计划,经批准后组织实施；</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（3）负责园区农业科技成果、先进实用技术的引进、示范、创新和推广,推进优质农产品标准化和产业化建设；</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（4）负责组织园区各类科技项目申报、实施和农业高新技术企业的申报以及科技成果鉴定、验收、奖励；</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（5）负责园区基础设施规划、建设和管理；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（6）负责园区建设融资和招商引资工作；</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（7）负责园区与各类科研机构(院校)开展合作交流,加强各类专业技术人才的引进、培训、培养工作；</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（8）负贵园区党务、群团、人事、人才、统计、审计、则务、国有资产管理、人力资源和社会保障、社会管理综合治理、安全生产监督、环境卫生等工作；</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（9）承办市委、市政府交办的其他事项。</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3.人员情况</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我单位现有编制3</w:t>
      </w:r>
      <w:r>
        <w:rPr>
          <w:rFonts w:hint="default"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en-US" w:eastAsia="zh-CN"/>
        </w:rPr>
        <w:t>人，其中行政编制0人，事业编制3</w:t>
      </w:r>
      <w:r>
        <w:rPr>
          <w:rFonts w:hint="default"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en-US" w:eastAsia="zh-CN"/>
        </w:rPr>
        <w:t>人。现有在职人员3</w:t>
      </w:r>
      <w:r>
        <w:rPr>
          <w:rFonts w:hint="default"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en-US" w:eastAsia="zh-CN"/>
        </w:rPr>
        <w:t>人，其中副处级</w:t>
      </w:r>
      <w:r>
        <w:rPr>
          <w:rFonts w:hint="default"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val="en-US" w:eastAsia="zh-CN"/>
        </w:rPr>
        <w:t>人，正科级</w:t>
      </w:r>
      <w:r>
        <w:rPr>
          <w:rFonts w:hint="default"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val="en-US" w:eastAsia="zh-CN"/>
        </w:rPr>
        <w:t>人，副科级</w:t>
      </w:r>
      <w:r>
        <w:rPr>
          <w:rFonts w:hint="default"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val="en-US" w:eastAsia="zh-CN"/>
        </w:rPr>
        <w:t xml:space="preserve"> 人，科员</w:t>
      </w:r>
      <w:r>
        <w:rPr>
          <w:rFonts w:hint="default"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lang w:val="en-US" w:eastAsia="zh-CN"/>
        </w:rPr>
        <w:t>人，参照公务员管理人员0人，执行事业单位工资标准人员3</w:t>
      </w:r>
      <w:r>
        <w:rPr>
          <w:rFonts w:hint="default"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en-US" w:eastAsia="zh-CN"/>
        </w:rPr>
        <w:t>人。车辆编制及实有数为1辆。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val="0"/>
          <w:bCs w:val="0"/>
          <w:sz w:val="32"/>
          <w:szCs w:val="32"/>
          <w:lang w:val="en-US" w:eastAsia="zh-CN"/>
        </w:rPr>
        <w:t>（二）单位整体支出规模、部门预算收支决算情况及“三公经费”支出使用和管理情况。</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（1）202</w:t>
      </w:r>
      <w:r>
        <w:rPr>
          <w:rFonts w:hint="default"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val="en-US" w:eastAsia="zh-CN"/>
        </w:rPr>
        <w:t>年我单位整体支出规模主要包括基本支出和项目支出。单位年初预算数金额为</w:t>
      </w:r>
      <w:r>
        <w:rPr>
          <w:rFonts w:hint="default" w:ascii="仿宋_GB2312" w:hAnsi="仿宋_GB2312" w:eastAsia="仿宋_GB2312" w:cs="仿宋_GB2312"/>
          <w:sz w:val="32"/>
          <w:szCs w:val="32"/>
          <w:lang w:val="en-US" w:eastAsia="zh-CN"/>
        </w:rPr>
        <w:t>526.45</w:t>
      </w:r>
      <w:r>
        <w:rPr>
          <w:rFonts w:hint="eastAsia" w:ascii="仿宋_GB2312" w:hAnsi="仿宋_GB2312" w:eastAsia="仿宋_GB2312" w:cs="仿宋_GB2312"/>
          <w:sz w:val="32"/>
          <w:szCs w:val="32"/>
          <w:lang w:val="en-US" w:eastAsia="zh-CN"/>
        </w:rPr>
        <w:t>万元，决算数金额为</w:t>
      </w:r>
      <w:r>
        <w:rPr>
          <w:rFonts w:hint="default" w:ascii="仿宋_GB2312" w:hAnsi="仿宋_GB2312" w:eastAsia="仿宋_GB2312" w:cs="仿宋_GB2312"/>
          <w:sz w:val="32"/>
          <w:szCs w:val="32"/>
          <w:lang w:val="en-US" w:eastAsia="zh-CN"/>
        </w:rPr>
        <w:t>563.29</w:t>
      </w:r>
      <w:r>
        <w:rPr>
          <w:rFonts w:hint="eastAsia" w:ascii="仿宋_GB2312" w:hAnsi="仿宋_GB2312" w:eastAsia="仿宋_GB2312" w:cs="仿宋_GB2312"/>
          <w:sz w:val="32"/>
          <w:szCs w:val="32"/>
          <w:lang w:val="en-US" w:eastAsia="zh-CN"/>
        </w:rPr>
        <w:t>万元，其中基本支出预算数为</w:t>
      </w:r>
      <w:r>
        <w:rPr>
          <w:rFonts w:hint="default" w:ascii="仿宋_GB2312" w:hAnsi="仿宋_GB2312" w:eastAsia="仿宋_GB2312" w:cs="仿宋_GB2312"/>
          <w:sz w:val="32"/>
          <w:szCs w:val="32"/>
          <w:lang w:val="en-US" w:eastAsia="zh-CN"/>
        </w:rPr>
        <w:t>526.45</w:t>
      </w:r>
      <w:r>
        <w:rPr>
          <w:rFonts w:hint="eastAsia" w:ascii="仿宋_GB2312" w:hAnsi="仿宋_GB2312" w:eastAsia="仿宋_GB2312" w:cs="仿宋_GB2312"/>
          <w:sz w:val="32"/>
          <w:szCs w:val="32"/>
          <w:lang w:val="en-US" w:eastAsia="zh-CN"/>
        </w:rPr>
        <w:t>万元，决算数为</w:t>
      </w:r>
      <w:r>
        <w:rPr>
          <w:rFonts w:hint="default" w:ascii="仿宋_GB2312" w:hAnsi="仿宋_GB2312" w:eastAsia="仿宋_GB2312" w:cs="仿宋_GB2312"/>
          <w:sz w:val="32"/>
          <w:szCs w:val="32"/>
          <w:lang w:val="en-US" w:eastAsia="zh-CN"/>
        </w:rPr>
        <w:t>538.35</w:t>
      </w:r>
      <w:r>
        <w:rPr>
          <w:rFonts w:hint="eastAsia" w:ascii="仿宋_GB2312" w:hAnsi="仿宋_GB2312" w:eastAsia="仿宋_GB2312" w:cs="仿宋_GB2312"/>
          <w:sz w:val="32"/>
          <w:szCs w:val="32"/>
          <w:lang w:val="en-US" w:eastAsia="zh-CN"/>
        </w:rPr>
        <w:t>万元，项目支出预算数为0万元，决算数为</w:t>
      </w:r>
      <w:r>
        <w:rPr>
          <w:rFonts w:hint="default" w:ascii="仿宋_GB2312" w:hAnsi="仿宋_GB2312" w:eastAsia="仿宋_GB2312" w:cs="仿宋_GB2312"/>
          <w:sz w:val="32"/>
          <w:szCs w:val="32"/>
          <w:lang w:val="en-US" w:eastAsia="zh-CN"/>
        </w:rPr>
        <w:t>24.94</w:t>
      </w:r>
      <w:r>
        <w:rPr>
          <w:rFonts w:hint="eastAsia" w:ascii="仿宋_GB2312" w:hAnsi="仿宋_GB2312" w:eastAsia="仿宋_GB2312" w:cs="仿宋_GB2312"/>
          <w:sz w:val="32"/>
          <w:szCs w:val="32"/>
          <w:lang w:val="en-US" w:eastAsia="zh-CN"/>
        </w:rPr>
        <w:t>万元。项目支出属于年中预算调剂，因而无年初预算数。</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（2）202</w:t>
      </w:r>
      <w:r>
        <w:rPr>
          <w:rFonts w:hint="default"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val="en-US" w:eastAsia="zh-CN"/>
        </w:rPr>
        <w:t>年我单位“三公经费”预算数4万元，主要包括公务接待费，决算数4万元，全年收支平衡。其中国内公务接待批次为4</w:t>
      </w:r>
      <w:r>
        <w:rPr>
          <w:rFonts w:hint="default"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val="en-US" w:eastAsia="zh-CN"/>
        </w:rPr>
        <w:t>次，国内公务接待总人数为29</w:t>
      </w:r>
      <w:r>
        <w:rPr>
          <w:rFonts w:hint="default"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val="en-US" w:eastAsia="zh-CN"/>
        </w:rPr>
        <w:t>人。</w:t>
      </w:r>
    </w:p>
    <w:p>
      <w:pPr>
        <w:pStyle w:val="14"/>
        <w:spacing w:line="570" w:lineRule="exact"/>
        <w:ind w:firstLine="640"/>
        <w:outlineLvl w:val="0"/>
        <w:rPr>
          <w:rFonts w:ascii="Times New Roman" w:hAnsi="Times New Roman" w:eastAsia="黑体"/>
          <w:b w:val="0"/>
          <w:bCs w:val="0"/>
          <w:sz w:val="32"/>
          <w:szCs w:val="32"/>
        </w:rPr>
      </w:pPr>
      <w:r>
        <w:rPr>
          <w:rFonts w:ascii="Times New Roman" w:hAnsi="Times New Roman" w:eastAsia="黑体"/>
          <w:b w:val="0"/>
          <w:bCs w:val="0"/>
          <w:sz w:val="32"/>
          <w:szCs w:val="32"/>
        </w:rPr>
        <w:t>二、一般公共预算支出情况</w:t>
      </w:r>
    </w:p>
    <w:p>
      <w:pPr>
        <w:pStyle w:val="14"/>
        <w:spacing w:line="570" w:lineRule="exact"/>
        <w:ind w:firstLine="640"/>
        <w:outlineLvl w:val="1"/>
        <w:rPr>
          <w:rFonts w:hint="eastAsia" w:ascii="仿宋_GB2312" w:hAnsi="仿宋_GB2312" w:eastAsia="仿宋_GB2312" w:cs="仿宋_GB2312"/>
          <w:b w:val="0"/>
          <w:bCs w:val="0"/>
          <w:kern w:val="2"/>
          <w:sz w:val="32"/>
          <w:szCs w:val="32"/>
          <w:lang w:val="en-US" w:eastAsia="zh-CN" w:bidi="ar-SA"/>
        </w:rPr>
      </w:pPr>
      <w:r>
        <w:rPr>
          <w:rFonts w:hint="default" w:ascii="仿宋_GB2312" w:hAnsi="仿宋_GB2312" w:eastAsia="仿宋_GB2312" w:cs="仿宋_GB2312"/>
          <w:b w:val="0"/>
          <w:bCs w:val="0"/>
          <w:kern w:val="2"/>
          <w:sz w:val="32"/>
          <w:szCs w:val="32"/>
          <w:lang w:val="en-US" w:eastAsia="zh-CN" w:bidi="ar-SA"/>
        </w:rPr>
        <w:t>（一）基本支出情况</w:t>
      </w:r>
    </w:p>
    <w:p>
      <w:pPr>
        <w:pStyle w:val="14"/>
        <w:spacing w:line="570" w:lineRule="exact"/>
        <w:ind w:firstLine="600"/>
        <w:outlineLvl w:val="1"/>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w:t>
      </w:r>
      <w:r>
        <w:rPr>
          <w:rFonts w:hint="default" w:ascii="仿宋_GB2312" w:hAnsi="仿宋_GB2312" w:eastAsia="仿宋_GB2312" w:cs="仿宋_GB2312"/>
          <w:kern w:val="2"/>
          <w:sz w:val="32"/>
          <w:szCs w:val="32"/>
          <w:lang w:val="en-US" w:eastAsia="zh-CN" w:bidi="ar-SA"/>
        </w:rPr>
        <w:t>3</w:t>
      </w:r>
      <w:r>
        <w:rPr>
          <w:rFonts w:hint="eastAsia" w:ascii="仿宋_GB2312" w:hAnsi="仿宋_GB2312" w:eastAsia="仿宋_GB2312" w:cs="仿宋_GB2312"/>
          <w:kern w:val="2"/>
          <w:sz w:val="32"/>
          <w:szCs w:val="32"/>
          <w:lang w:val="en-US" w:eastAsia="zh-CN" w:bidi="ar-SA"/>
        </w:rPr>
        <w:t>年我单位一般公共预算财政拨款收入中基本支出收入为</w:t>
      </w:r>
      <w:r>
        <w:rPr>
          <w:rFonts w:hint="default" w:ascii="仿宋_GB2312" w:hAnsi="仿宋_GB2312" w:eastAsia="仿宋_GB2312" w:cs="仿宋_GB2312"/>
          <w:kern w:val="2"/>
          <w:sz w:val="32"/>
          <w:szCs w:val="32"/>
          <w:lang w:val="en-US" w:eastAsia="zh-CN" w:bidi="ar-SA"/>
        </w:rPr>
        <w:t>538.35</w:t>
      </w:r>
      <w:r>
        <w:rPr>
          <w:rFonts w:hint="eastAsia" w:ascii="仿宋_GB2312" w:hAnsi="仿宋_GB2312" w:eastAsia="仿宋_GB2312" w:cs="仿宋_GB2312"/>
          <w:kern w:val="2"/>
          <w:sz w:val="32"/>
          <w:szCs w:val="32"/>
          <w:lang w:val="en-US" w:eastAsia="zh-CN" w:bidi="ar-SA"/>
        </w:rPr>
        <w:t>万元，实际支出</w:t>
      </w:r>
      <w:r>
        <w:rPr>
          <w:rFonts w:hint="default" w:ascii="仿宋_GB2312" w:hAnsi="仿宋_GB2312" w:eastAsia="仿宋_GB2312" w:cs="仿宋_GB2312"/>
          <w:kern w:val="2"/>
          <w:sz w:val="32"/>
          <w:szCs w:val="32"/>
          <w:lang w:val="en-US" w:eastAsia="zh-CN" w:bidi="ar-SA"/>
        </w:rPr>
        <w:t>538.35</w:t>
      </w:r>
      <w:r>
        <w:rPr>
          <w:rFonts w:hint="eastAsia" w:ascii="仿宋_GB2312" w:hAnsi="仿宋_GB2312" w:eastAsia="仿宋_GB2312" w:cs="仿宋_GB2312"/>
          <w:kern w:val="2"/>
          <w:sz w:val="32"/>
          <w:szCs w:val="32"/>
          <w:lang w:val="en-US" w:eastAsia="zh-CN" w:bidi="ar-SA"/>
        </w:rPr>
        <w:t>万元。具体包括人员经费</w:t>
      </w:r>
      <w:r>
        <w:rPr>
          <w:rFonts w:hint="default" w:ascii="仿宋_GB2312" w:hAnsi="仿宋_GB2312" w:eastAsia="仿宋_GB2312" w:cs="仿宋_GB2312"/>
          <w:kern w:val="2"/>
          <w:sz w:val="32"/>
          <w:szCs w:val="32"/>
          <w:lang w:val="en-US" w:eastAsia="zh-CN" w:bidi="ar-SA"/>
        </w:rPr>
        <w:t>488.1</w:t>
      </w:r>
      <w:r>
        <w:rPr>
          <w:rFonts w:hint="eastAsia" w:ascii="仿宋_GB2312" w:hAnsi="仿宋_GB2312" w:eastAsia="仿宋_GB2312" w:cs="仿宋_GB2312"/>
          <w:kern w:val="2"/>
          <w:sz w:val="32"/>
          <w:szCs w:val="32"/>
          <w:lang w:val="en-US" w:eastAsia="zh-CN" w:bidi="ar-SA"/>
        </w:rPr>
        <w:t>万元，公用经费</w:t>
      </w:r>
      <w:r>
        <w:rPr>
          <w:rFonts w:hint="default" w:ascii="仿宋_GB2312" w:hAnsi="仿宋_GB2312" w:eastAsia="仿宋_GB2312" w:cs="仿宋_GB2312"/>
          <w:kern w:val="2"/>
          <w:sz w:val="32"/>
          <w:szCs w:val="32"/>
          <w:lang w:val="en-US" w:eastAsia="zh-CN" w:bidi="ar-SA"/>
        </w:rPr>
        <w:t>50.25</w:t>
      </w:r>
      <w:r>
        <w:rPr>
          <w:rFonts w:hint="eastAsia" w:ascii="仿宋_GB2312" w:hAnsi="仿宋_GB2312" w:eastAsia="仿宋_GB2312" w:cs="仿宋_GB2312"/>
          <w:kern w:val="2"/>
          <w:sz w:val="32"/>
          <w:szCs w:val="32"/>
          <w:lang w:val="en-US" w:eastAsia="zh-CN" w:bidi="ar-SA"/>
        </w:rPr>
        <w:t>万元，其中机关事业单位基本养老保险缴费支出</w:t>
      </w:r>
      <w:r>
        <w:rPr>
          <w:rFonts w:hint="default" w:ascii="仿宋_GB2312" w:hAnsi="仿宋_GB2312" w:eastAsia="仿宋_GB2312" w:cs="仿宋_GB2312"/>
          <w:kern w:val="2"/>
          <w:sz w:val="32"/>
          <w:szCs w:val="32"/>
          <w:lang w:val="en-US" w:eastAsia="zh-CN" w:bidi="ar-SA"/>
        </w:rPr>
        <w:t>48.22</w:t>
      </w:r>
      <w:r>
        <w:rPr>
          <w:rFonts w:hint="eastAsia" w:ascii="仿宋_GB2312" w:hAnsi="仿宋_GB2312" w:eastAsia="仿宋_GB2312" w:cs="仿宋_GB2312"/>
          <w:kern w:val="2"/>
          <w:sz w:val="32"/>
          <w:szCs w:val="32"/>
          <w:lang w:val="en-US" w:eastAsia="zh-CN" w:bidi="ar-SA"/>
        </w:rPr>
        <w:t>万元，事业单位医疗</w:t>
      </w:r>
      <w:r>
        <w:rPr>
          <w:rFonts w:hint="default" w:ascii="仿宋_GB2312" w:hAnsi="仿宋_GB2312" w:eastAsia="仿宋_GB2312" w:cs="仿宋_GB2312"/>
          <w:kern w:val="2"/>
          <w:sz w:val="32"/>
          <w:szCs w:val="32"/>
          <w:lang w:val="en-US" w:eastAsia="zh-CN" w:bidi="ar-SA"/>
        </w:rPr>
        <w:t>19.46</w:t>
      </w:r>
      <w:r>
        <w:rPr>
          <w:rFonts w:hint="eastAsia" w:ascii="仿宋_GB2312" w:hAnsi="仿宋_GB2312" w:eastAsia="仿宋_GB2312" w:cs="仿宋_GB2312"/>
          <w:kern w:val="2"/>
          <w:sz w:val="32"/>
          <w:szCs w:val="32"/>
          <w:lang w:val="en-US" w:eastAsia="zh-CN" w:bidi="ar-SA"/>
        </w:rPr>
        <w:t>万元，行政运行</w:t>
      </w:r>
      <w:r>
        <w:rPr>
          <w:rFonts w:hint="default" w:ascii="仿宋_GB2312" w:hAnsi="仿宋_GB2312" w:eastAsia="仿宋_GB2312" w:cs="仿宋_GB2312"/>
          <w:kern w:val="2"/>
          <w:sz w:val="32"/>
          <w:szCs w:val="32"/>
          <w:lang w:val="en-US" w:eastAsia="zh-CN" w:bidi="ar-SA"/>
        </w:rPr>
        <w:t>429.05</w:t>
      </w:r>
      <w:r>
        <w:rPr>
          <w:rFonts w:hint="eastAsia" w:ascii="仿宋_GB2312" w:hAnsi="仿宋_GB2312" w:eastAsia="仿宋_GB2312" w:cs="仿宋_GB2312"/>
          <w:kern w:val="2"/>
          <w:sz w:val="32"/>
          <w:szCs w:val="32"/>
          <w:lang w:val="en-US" w:eastAsia="zh-CN" w:bidi="ar-SA"/>
        </w:rPr>
        <w:t>万元，住房公积金</w:t>
      </w:r>
      <w:r>
        <w:rPr>
          <w:rFonts w:hint="default" w:ascii="仿宋_GB2312" w:hAnsi="仿宋_GB2312" w:eastAsia="仿宋_GB2312" w:cs="仿宋_GB2312"/>
          <w:kern w:val="2"/>
          <w:sz w:val="32"/>
          <w:szCs w:val="32"/>
          <w:lang w:val="en-US" w:eastAsia="zh-CN" w:bidi="ar-SA"/>
        </w:rPr>
        <w:t>41.62</w:t>
      </w:r>
      <w:r>
        <w:rPr>
          <w:rFonts w:hint="eastAsia" w:ascii="仿宋_GB2312" w:hAnsi="仿宋_GB2312" w:eastAsia="仿宋_GB2312" w:cs="仿宋_GB2312"/>
          <w:kern w:val="2"/>
          <w:sz w:val="32"/>
          <w:szCs w:val="32"/>
          <w:lang w:val="en-US" w:eastAsia="zh-CN" w:bidi="ar-SA"/>
        </w:rPr>
        <w:t>万元。</w:t>
      </w:r>
    </w:p>
    <w:p>
      <w:pPr>
        <w:pStyle w:val="14"/>
        <w:spacing w:line="570" w:lineRule="exact"/>
        <w:ind w:firstLine="640"/>
        <w:outlineLvl w:val="1"/>
        <w:rPr>
          <w:rFonts w:hint="eastAsia" w:ascii="仿宋_GB2312" w:hAnsi="仿宋_GB2312" w:eastAsia="仿宋_GB2312" w:cs="仿宋_GB2312"/>
          <w:b w:val="0"/>
          <w:bCs w:val="0"/>
          <w:kern w:val="2"/>
          <w:sz w:val="32"/>
          <w:szCs w:val="32"/>
          <w:lang w:val="en-US" w:eastAsia="zh-CN" w:bidi="ar-SA"/>
        </w:rPr>
      </w:pPr>
      <w:r>
        <w:rPr>
          <w:rFonts w:hint="default" w:ascii="仿宋_GB2312" w:hAnsi="仿宋_GB2312" w:eastAsia="仿宋_GB2312" w:cs="仿宋_GB2312"/>
          <w:b w:val="0"/>
          <w:bCs w:val="0"/>
          <w:kern w:val="2"/>
          <w:sz w:val="32"/>
          <w:szCs w:val="32"/>
          <w:lang w:val="en-US" w:eastAsia="zh-CN" w:bidi="ar-SA"/>
        </w:rPr>
        <w:t>（二）项目支出情况</w:t>
      </w:r>
    </w:p>
    <w:p>
      <w:pPr>
        <w:pStyle w:val="14"/>
        <w:spacing w:line="570" w:lineRule="exact"/>
        <w:ind w:firstLine="600"/>
        <w:outlineLvl w:val="1"/>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w:t>
      </w:r>
      <w:r>
        <w:rPr>
          <w:rFonts w:hint="default" w:ascii="仿宋_GB2312" w:hAnsi="仿宋_GB2312" w:eastAsia="仿宋_GB2312" w:cs="仿宋_GB2312"/>
          <w:kern w:val="2"/>
          <w:sz w:val="32"/>
          <w:szCs w:val="32"/>
          <w:lang w:val="en-US" w:eastAsia="zh-CN" w:bidi="ar-SA"/>
        </w:rPr>
        <w:t>3</w:t>
      </w:r>
      <w:r>
        <w:rPr>
          <w:rFonts w:hint="eastAsia" w:ascii="仿宋_GB2312" w:hAnsi="仿宋_GB2312" w:eastAsia="仿宋_GB2312" w:cs="仿宋_GB2312"/>
          <w:kern w:val="2"/>
          <w:sz w:val="32"/>
          <w:szCs w:val="32"/>
          <w:lang w:val="en-US" w:eastAsia="zh-CN" w:bidi="ar-SA"/>
        </w:rPr>
        <w:t>年我单位我单位一般公共预算财政拨款收入中项目支出收入为24.94万元，实际支出24.94万元，其中其他支出（樱桃李履约保证金 ）6.58万元，农林水支出（租赁费）18.36万元。</w:t>
      </w:r>
    </w:p>
    <w:p>
      <w:pPr>
        <w:pStyle w:val="14"/>
        <w:spacing w:line="570" w:lineRule="exact"/>
        <w:ind w:firstLine="640"/>
        <w:jc w:val="left"/>
        <w:outlineLvl w:val="0"/>
        <w:rPr>
          <w:rFonts w:hint="eastAsia" w:ascii="Times New Roman" w:hAnsi="Times New Roman" w:eastAsia="黑体"/>
          <w:sz w:val="32"/>
          <w:szCs w:val="32"/>
        </w:rPr>
      </w:pPr>
      <w:r>
        <w:rPr>
          <w:rFonts w:ascii="Times New Roman" w:hAnsi="Times New Roman" w:eastAsia="黑体"/>
          <w:sz w:val="32"/>
          <w:szCs w:val="32"/>
        </w:rPr>
        <w:t>三、政府性基金预算支出情况</w:t>
      </w:r>
      <w:r>
        <w:rPr>
          <w:rFonts w:hint="eastAsia" w:ascii="Times New Roman" w:hAnsi="Times New Roman" w:eastAsia="黑体"/>
          <w:sz w:val="32"/>
          <w:szCs w:val="32"/>
        </w:rPr>
        <w:t>。</w:t>
      </w:r>
    </w:p>
    <w:p>
      <w:pPr>
        <w:pStyle w:val="14"/>
        <w:spacing w:line="570" w:lineRule="exact"/>
        <w:ind w:firstLine="600"/>
        <w:outlineLvl w:val="1"/>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我单位202</w:t>
      </w:r>
      <w:r>
        <w:rPr>
          <w:rFonts w:hint="default" w:ascii="仿宋_GB2312" w:hAnsi="仿宋_GB2312" w:eastAsia="仿宋_GB2312" w:cs="仿宋_GB2312"/>
          <w:kern w:val="2"/>
          <w:sz w:val="32"/>
          <w:szCs w:val="32"/>
          <w:lang w:val="en-US" w:eastAsia="zh-CN" w:bidi="ar-SA"/>
        </w:rPr>
        <w:t>3</w:t>
      </w:r>
      <w:r>
        <w:rPr>
          <w:rFonts w:hint="eastAsia" w:ascii="仿宋_GB2312" w:hAnsi="仿宋_GB2312" w:eastAsia="仿宋_GB2312" w:cs="仿宋_GB2312"/>
          <w:kern w:val="2"/>
          <w:sz w:val="32"/>
          <w:szCs w:val="32"/>
          <w:lang w:val="en-US" w:eastAsia="zh-CN" w:bidi="ar-SA"/>
        </w:rPr>
        <w:t>年无政府性基金预算支出情况。</w:t>
      </w:r>
    </w:p>
    <w:p>
      <w:pPr>
        <w:pStyle w:val="14"/>
        <w:spacing w:line="570" w:lineRule="exact"/>
        <w:ind w:firstLine="640"/>
        <w:jc w:val="left"/>
        <w:outlineLvl w:val="0"/>
        <w:rPr>
          <w:rFonts w:hint="eastAsia" w:ascii="Times New Roman" w:hAnsi="Times New Roman" w:eastAsia="黑体"/>
          <w:sz w:val="32"/>
          <w:szCs w:val="32"/>
        </w:rPr>
      </w:pPr>
      <w:r>
        <w:rPr>
          <w:rFonts w:ascii="Times New Roman" w:hAnsi="Times New Roman" w:eastAsia="黑体"/>
          <w:sz w:val="32"/>
          <w:szCs w:val="32"/>
        </w:rPr>
        <w:t>四、国有资本经营预算支出情况</w:t>
      </w:r>
      <w:r>
        <w:rPr>
          <w:rFonts w:hint="eastAsia" w:ascii="Times New Roman" w:hAnsi="Times New Roman" w:eastAsia="黑体"/>
          <w:sz w:val="32"/>
          <w:szCs w:val="32"/>
        </w:rPr>
        <w:t>。</w:t>
      </w:r>
    </w:p>
    <w:p>
      <w:pPr>
        <w:pStyle w:val="14"/>
        <w:spacing w:line="570" w:lineRule="exact"/>
        <w:ind w:firstLine="600"/>
        <w:outlineLvl w:val="1"/>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我单位202</w:t>
      </w:r>
      <w:r>
        <w:rPr>
          <w:rFonts w:hint="default" w:ascii="仿宋_GB2312" w:hAnsi="仿宋_GB2312" w:eastAsia="仿宋_GB2312" w:cs="仿宋_GB2312"/>
          <w:kern w:val="2"/>
          <w:sz w:val="32"/>
          <w:szCs w:val="32"/>
          <w:lang w:val="en-US" w:eastAsia="zh-CN" w:bidi="ar-SA"/>
        </w:rPr>
        <w:t>3</w:t>
      </w:r>
      <w:r>
        <w:rPr>
          <w:rFonts w:hint="eastAsia" w:ascii="仿宋_GB2312" w:hAnsi="仿宋_GB2312" w:eastAsia="仿宋_GB2312" w:cs="仿宋_GB2312"/>
          <w:kern w:val="2"/>
          <w:sz w:val="32"/>
          <w:szCs w:val="32"/>
          <w:lang w:val="en-US" w:eastAsia="zh-CN" w:bidi="ar-SA"/>
        </w:rPr>
        <w:t>年无国有资本经营预算支出情况。</w:t>
      </w:r>
    </w:p>
    <w:p>
      <w:pPr>
        <w:pStyle w:val="14"/>
        <w:spacing w:line="570" w:lineRule="exact"/>
        <w:ind w:firstLine="640"/>
        <w:jc w:val="left"/>
        <w:outlineLvl w:val="0"/>
        <w:rPr>
          <w:rFonts w:hint="eastAsia" w:ascii="Times New Roman" w:hAnsi="Times New Roman" w:eastAsia="黑体"/>
          <w:sz w:val="32"/>
          <w:szCs w:val="32"/>
        </w:rPr>
      </w:pPr>
      <w:r>
        <w:rPr>
          <w:rFonts w:ascii="Times New Roman" w:hAnsi="Times New Roman" w:eastAsia="黑体"/>
          <w:sz w:val="32"/>
          <w:szCs w:val="32"/>
        </w:rPr>
        <w:t>五、社会保险基金预算支出情况</w:t>
      </w:r>
      <w:r>
        <w:rPr>
          <w:rFonts w:hint="eastAsia" w:ascii="Times New Roman" w:hAnsi="Times New Roman" w:eastAsia="黑体"/>
          <w:sz w:val="32"/>
          <w:szCs w:val="32"/>
        </w:rPr>
        <w:t>。</w:t>
      </w:r>
    </w:p>
    <w:p>
      <w:pPr>
        <w:pStyle w:val="14"/>
        <w:spacing w:line="570" w:lineRule="exact"/>
        <w:ind w:firstLine="600"/>
        <w:outlineLvl w:val="1"/>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我单位202</w:t>
      </w:r>
      <w:r>
        <w:rPr>
          <w:rFonts w:hint="default" w:ascii="仿宋_GB2312" w:hAnsi="仿宋_GB2312" w:eastAsia="仿宋_GB2312" w:cs="仿宋_GB2312"/>
          <w:kern w:val="2"/>
          <w:sz w:val="32"/>
          <w:szCs w:val="32"/>
          <w:lang w:val="en-US" w:eastAsia="zh-CN" w:bidi="ar-SA"/>
        </w:rPr>
        <w:t>3</w:t>
      </w:r>
      <w:r>
        <w:rPr>
          <w:rFonts w:hint="eastAsia" w:ascii="仿宋_GB2312" w:hAnsi="仿宋_GB2312" w:eastAsia="仿宋_GB2312" w:cs="仿宋_GB2312"/>
          <w:kern w:val="2"/>
          <w:sz w:val="32"/>
          <w:szCs w:val="32"/>
          <w:lang w:val="en-US" w:eastAsia="zh-CN" w:bidi="ar-SA"/>
        </w:rPr>
        <w:t>年无社会保险基金预算支出情况。</w:t>
      </w:r>
    </w:p>
    <w:p>
      <w:pPr>
        <w:spacing w:line="570" w:lineRule="exact"/>
        <w:ind w:firstLine="645"/>
        <w:jc w:val="left"/>
        <w:outlineLvl w:val="0"/>
        <w:rPr>
          <w:rFonts w:eastAsia="黑体"/>
          <w:sz w:val="32"/>
          <w:szCs w:val="32"/>
        </w:rPr>
      </w:pPr>
      <w:r>
        <w:rPr>
          <w:rFonts w:eastAsia="黑体"/>
          <w:sz w:val="32"/>
          <w:szCs w:val="32"/>
        </w:rPr>
        <w:t>六、部门整体支出绩效情况</w:t>
      </w:r>
    </w:p>
    <w:p>
      <w:pPr>
        <w:pStyle w:val="14"/>
        <w:spacing w:line="570" w:lineRule="exact"/>
        <w:ind w:firstLine="600"/>
        <w:outlineLvl w:val="1"/>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w:t>
      </w:r>
      <w:r>
        <w:rPr>
          <w:rFonts w:hint="default" w:ascii="仿宋_GB2312" w:hAnsi="仿宋_GB2312" w:eastAsia="仿宋_GB2312" w:cs="仿宋_GB2312"/>
          <w:kern w:val="2"/>
          <w:sz w:val="32"/>
          <w:szCs w:val="32"/>
          <w:lang w:val="en-US" w:eastAsia="zh-CN" w:bidi="ar-SA"/>
        </w:rPr>
        <w:t>3</w:t>
      </w:r>
      <w:r>
        <w:rPr>
          <w:rFonts w:hint="eastAsia" w:ascii="仿宋_GB2312" w:hAnsi="仿宋_GB2312" w:eastAsia="仿宋_GB2312" w:cs="仿宋_GB2312"/>
          <w:kern w:val="2"/>
          <w:sz w:val="32"/>
          <w:szCs w:val="32"/>
          <w:lang w:val="en-US" w:eastAsia="zh-CN" w:bidi="ar-SA"/>
        </w:rPr>
        <w:t>年我单位一般公共预算财政拨款收入556.71万元，其他收入6.58万元，实际总支出563.29万元；无政府性基金预算支出；无国有资本经营预算支出；无社会保险基金预算支出。我单位一般公共预算支出具体包括工资福利支出488.10万元，其中基本工资130.58万元，津贴补贴0.58万元，奖金157.42万元，绩效工资90.22万元，机关事业单位基本养老保险缴费48.22万元，职工基本医疗保险缴费19.46万元，住房公积金41.62万元；商品和服务支出50.25万元，其中办公费5万元，邮电费0.4万元，差旅费1万元，维修（护）费0.2万元，会议费0.4万元，培训费0.9万元，公务接待费4万元，劳务费0.2万元，工会经费4.65万元，其他交通费用25.8万元，其他商品和服务支出7.7万元；项目支出24.94万元。</w:t>
      </w:r>
    </w:p>
    <w:p>
      <w:pPr>
        <w:pStyle w:val="14"/>
        <w:spacing w:line="570" w:lineRule="exact"/>
        <w:ind w:firstLine="600"/>
        <w:outlineLvl w:val="1"/>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我单位一般公共预算支出涵盖单位人员经费、公用经费和项目支出。所有开支均按照我单位财务管理制度执行，严格按照资金管理办法使用，达到了预期效果，做到了资金投入合理，政策执行有力，资金落实到位，财务管理规范，提升了政府形象，提高了政府的公信力。</w:t>
      </w:r>
    </w:p>
    <w:p>
      <w:pPr>
        <w:pStyle w:val="14"/>
        <w:spacing w:line="570" w:lineRule="exact"/>
        <w:ind w:firstLine="640"/>
        <w:jc w:val="left"/>
        <w:outlineLvl w:val="0"/>
        <w:rPr>
          <w:rFonts w:ascii="Times New Roman" w:hAnsi="Times New Roman" w:eastAsia="黑体"/>
          <w:sz w:val="32"/>
          <w:szCs w:val="32"/>
        </w:rPr>
      </w:pPr>
      <w:r>
        <w:rPr>
          <w:rFonts w:ascii="Times New Roman" w:hAnsi="Times New Roman" w:eastAsia="黑体"/>
          <w:sz w:val="32"/>
          <w:szCs w:val="32"/>
        </w:rPr>
        <w:t>七、存在的问题及原因分析</w:t>
      </w:r>
    </w:p>
    <w:p>
      <w:pPr>
        <w:pStyle w:val="14"/>
        <w:spacing w:line="570" w:lineRule="exact"/>
        <w:ind w:firstLine="600"/>
        <w:outlineLvl w:val="1"/>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2023年相关项目因财政资金较紧张的缘故导致进度缓慢，以及年末实有人数与年初预算数相差7人，造成绩效目标出现偏差。</w:t>
      </w:r>
    </w:p>
    <w:p>
      <w:pPr>
        <w:spacing w:line="570" w:lineRule="exact"/>
        <w:ind w:firstLine="640" w:firstLineChars="200"/>
        <w:jc w:val="left"/>
        <w:outlineLvl w:val="0"/>
        <w:rPr>
          <w:rFonts w:hint="eastAsia" w:eastAsia="黑体"/>
          <w:sz w:val="32"/>
          <w:szCs w:val="32"/>
        </w:rPr>
      </w:pPr>
      <w:r>
        <w:rPr>
          <w:rFonts w:eastAsia="黑体"/>
          <w:sz w:val="32"/>
          <w:szCs w:val="32"/>
        </w:rPr>
        <w:t>八、下一步改进措施</w:t>
      </w:r>
    </w:p>
    <w:p>
      <w:pPr>
        <w:spacing w:line="360" w:lineRule="auto"/>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做好跟踪检查工作。定期不定期地对工作实施情况和经费使用情况进行跟踪检查，对能实现预期绩效目标的项目予以充分肯定，对进展缓慢，预期绩效目标较差的项目，及时进行协调和提出整改措施，确保工作正常运行，达到预期绩效目标。</w:t>
      </w:r>
    </w:p>
    <w:p>
      <w:pPr>
        <w:spacing w:line="360" w:lineRule="auto"/>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1、着重针对偏差问题进行整改，积极应对，对之前的工作进行合理调配，采取加班加点、召开会议展开讨论等方式，在保证效率的前提下，如期完成工作任务。</w:t>
      </w:r>
    </w:p>
    <w:p>
      <w:pPr>
        <w:spacing w:line="360" w:lineRule="auto"/>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2、进一步健全和完善财务管理制度及内部控制制度，创新管理手段，用新思路、新方法，改进完善财务管理方法。</w:t>
      </w:r>
    </w:p>
    <w:p>
      <w:pPr>
        <w:spacing w:line="360" w:lineRule="auto"/>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3、按照财政支出绩效管理的要求，建立科学的财政资金效益考评制度体系，不断提高财政资金使用管理的水平和效率。</w:t>
      </w:r>
    </w:p>
    <w:p>
      <w:pPr>
        <w:spacing w:line="570" w:lineRule="exact"/>
        <w:ind w:firstLine="645"/>
        <w:jc w:val="left"/>
        <w:outlineLvl w:val="0"/>
        <w:rPr>
          <w:rFonts w:hint="eastAsia" w:eastAsia="黑体"/>
          <w:sz w:val="32"/>
          <w:szCs w:val="32"/>
        </w:rPr>
      </w:pPr>
      <w:r>
        <w:rPr>
          <w:rFonts w:eastAsia="黑体"/>
          <w:sz w:val="32"/>
          <w:szCs w:val="32"/>
        </w:rPr>
        <w:t>九、部门整体支出绩效自评结果拟应用和公开情况</w:t>
      </w:r>
    </w:p>
    <w:p>
      <w:pPr>
        <w:spacing w:line="360" w:lineRule="auto"/>
        <w:ind w:firstLine="640" w:firstLineChars="200"/>
        <w:rPr>
          <w:rFonts w:ascii="宋体" w:hAnsi="宋体" w:cs="宋体"/>
          <w:kern w:val="1"/>
          <w:sz w:val="30"/>
          <w:szCs w:val="30"/>
        </w:rPr>
      </w:pPr>
      <w:r>
        <w:rPr>
          <w:rFonts w:hint="eastAsia" w:ascii="仿宋_GB2312" w:hAnsi="仿宋_GB2312" w:eastAsia="仿宋_GB2312" w:cs="仿宋_GB2312"/>
          <w:kern w:val="2"/>
          <w:sz w:val="32"/>
          <w:szCs w:val="32"/>
          <w:lang w:val="en-US" w:eastAsia="zh-CN" w:bidi="ar-SA"/>
        </w:rPr>
        <w:t>针对我单位部门整体支出和项目自出绩效自评结果进行总结，积极整改，以为园区更好发展而努力；我单位2023年度部门整体支出绩效自评目前尚未公开</w:t>
      </w:r>
      <w:r>
        <w:rPr>
          <w:rFonts w:hint="eastAsia" w:ascii="宋体" w:hAnsi="宋体" w:cs="宋体"/>
          <w:kern w:val="1"/>
          <w:sz w:val="30"/>
          <w:szCs w:val="30"/>
        </w:rPr>
        <w:t>。</w:t>
      </w:r>
    </w:p>
    <w:p>
      <w:pPr>
        <w:spacing w:line="570" w:lineRule="exact"/>
        <w:ind w:firstLine="645"/>
        <w:jc w:val="left"/>
        <w:rPr>
          <w:rFonts w:hint="eastAsia" w:eastAsia="黑体"/>
          <w:sz w:val="32"/>
          <w:szCs w:val="32"/>
        </w:rPr>
      </w:pPr>
      <w:r>
        <w:rPr>
          <w:rFonts w:hint="eastAsia" w:eastAsia="黑体"/>
          <w:sz w:val="32"/>
          <w:szCs w:val="32"/>
        </w:rPr>
        <w:t>十、</w:t>
      </w:r>
      <w:r>
        <w:rPr>
          <w:rFonts w:eastAsia="黑体"/>
          <w:sz w:val="32"/>
          <w:szCs w:val="32"/>
        </w:rPr>
        <w:t>其他需要说明的情况</w:t>
      </w:r>
    </w:p>
    <w:p>
      <w:pPr>
        <w:spacing w:line="360" w:lineRule="auto"/>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无</w:t>
      </w:r>
    </w:p>
    <w:p>
      <w:pPr>
        <w:pStyle w:val="13"/>
        <w:jc w:val="center"/>
        <w:rPr>
          <w:rFonts w:hint="eastAsia" w:ascii="Times New Roman" w:hAnsi="Times New Roman" w:eastAsia="仿宋_GB2312"/>
          <w:sz w:val="32"/>
          <w:szCs w:val="32"/>
          <w:lang w:val="en-US" w:eastAsia="zh-CN"/>
        </w:rPr>
      </w:pPr>
    </w:p>
    <w:p>
      <w:pPr>
        <w:pStyle w:val="13"/>
        <w:jc w:val="center"/>
        <w:rPr>
          <w:rFonts w:hint="eastAsia" w:ascii="方正小标宋_GBK" w:hAnsi="方正小标宋_GBK" w:eastAsia="方正小标宋_GBK" w:cs="方正小标宋_GBK"/>
          <w:sz w:val="70"/>
          <w:szCs w:val="70"/>
          <w:lang w:eastAsia="zh-CN"/>
        </w:rPr>
      </w:pPr>
    </w:p>
    <w:p>
      <w:pPr>
        <w:pStyle w:val="13"/>
        <w:jc w:val="center"/>
        <w:rPr>
          <w:rFonts w:hint="eastAsia" w:ascii="方正小标宋_GBK" w:hAnsi="方正小标宋_GBK" w:eastAsia="方正小标宋_GBK" w:cs="方正小标宋_GBK"/>
          <w:sz w:val="70"/>
          <w:szCs w:val="70"/>
          <w:lang w:eastAsia="zh-CN"/>
        </w:rPr>
      </w:pP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黑体"/>
          <w:b/>
          <w:bCs/>
          <w:color w:val="FF0000"/>
          <w:kern w:val="0"/>
          <w:sz w:val="32"/>
          <w:szCs w:val="32"/>
          <w:lang w:val="en-US" w:eastAsia="zh-CN" w:bidi="ar-SA"/>
        </w:rPr>
      </w:pP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黑体"/>
          <w:b/>
          <w:bCs/>
          <w:color w:val="FF0000"/>
          <w:kern w:val="0"/>
          <w:sz w:val="32"/>
          <w:szCs w:val="32"/>
          <w:lang w:val="en-US" w:eastAsia="zh-CN" w:bidi="ar-SA"/>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永中宋体">
    <w:altName w:val="宋体"/>
    <w:panose1 w:val="00000000000000000000"/>
    <w:charset w:val="86"/>
    <w:family w:val="auto"/>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9E3DA24"/>
    <w:multiLevelType w:val="singleLevel"/>
    <w:tmpl w:val="D9E3DA24"/>
    <w:lvl w:ilvl="0" w:tentative="0">
      <w:start w:val="1"/>
      <w:numFmt w:val="chineseCounting"/>
      <w:suff w:val="nothing"/>
      <w:lvlText w:val="%1、"/>
      <w:lvlJc w:val="left"/>
      <w:rPr>
        <w:rFonts w:hint="eastAsia"/>
      </w:rPr>
    </w:lvl>
  </w:abstractNum>
  <w:abstractNum w:abstractNumId="1">
    <w:nsid w:val="EFB36017"/>
    <w:multiLevelType w:val="singleLevel"/>
    <w:tmpl w:val="EFB36017"/>
    <w:lvl w:ilvl="0" w:tentative="0">
      <w:start w:val="7"/>
      <w:numFmt w:val="chineseCounting"/>
      <w:suff w:val="nothing"/>
      <w:lvlText w:val="%1、"/>
      <w:lvlJc w:val="left"/>
      <w:rPr>
        <w:rFonts w:hint="eastAsia"/>
      </w:rPr>
    </w:lvl>
  </w:abstractNum>
  <w:abstractNum w:abstractNumId="2">
    <w:nsid w:val="288D76CE"/>
    <w:multiLevelType w:val="singleLevel"/>
    <w:tmpl w:val="288D76CE"/>
    <w:lvl w:ilvl="0" w:tentative="0">
      <w:start w:val="1"/>
      <w:numFmt w:val="chineseCounting"/>
      <w:suff w:val="nothing"/>
      <w:lvlText w:val="%1、"/>
      <w:lvlJc w:val="left"/>
      <w:rPr>
        <w:rFonts w:hint="eastAsia"/>
      </w:rPr>
    </w:lvl>
  </w:abstractNum>
  <w:abstractNum w:abstractNumId="3">
    <w:nsid w:val="63416DE2"/>
    <w:multiLevelType w:val="singleLevel"/>
    <w:tmpl w:val="63416DE2"/>
    <w:lvl w:ilvl="0" w:tentative="0">
      <w:start w:val="1"/>
      <w:numFmt w:val="chineseCounting"/>
      <w:suff w:val="space"/>
      <w:lvlText w:val="（%1）"/>
      <w:lvlJc w:val="left"/>
      <w:rPr>
        <w:rFonts w:hint="eastAsia"/>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5YzQzMDc1ZjllMGMwZTg3M2U0OGI0ZGVmMjMxM2Y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27CB1"/>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C4D2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9E70F5"/>
    <w:rsid w:val="00A01D2B"/>
    <w:rsid w:val="00A42218"/>
    <w:rsid w:val="00A70249"/>
    <w:rsid w:val="00A70B02"/>
    <w:rsid w:val="00A71D9F"/>
    <w:rsid w:val="00A92E9F"/>
    <w:rsid w:val="00AB18FF"/>
    <w:rsid w:val="00B0453A"/>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1695955"/>
    <w:rsid w:val="01823635"/>
    <w:rsid w:val="025A0025"/>
    <w:rsid w:val="02C85699"/>
    <w:rsid w:val="03505757"/>
    <w:rsid w:val="047B04DC"/>
    <w:rsid w:val="054D1E6D"/>
    <w:rsid w:val="05966074"/>
    <w:rsid w:val="05D57DAC"/>
    <w:rsid w:val="05F86B9B"/>
    <w:rsid w:val="07CD61B3"/>
    <w:rsid w:val="096E59C3"/>
    <w:rsid w:val="09C1335A"/>
    <w:rsid w:val="0B427BE1"/>
    <w:rsid w:val="0BEE7CFD"/>
    <w:rsid w:val="0C5352EC"/>
    <w:rsid w:val="0CAC2B9A"/>
    <w:rsid w:val="0CD910AD"/>
    <w:rsid w:val="0D6F3D3F"/>
    <w:rsid w:val="0DE10621"/>
    <w:rsid w:val="10256733"/>
    <w:rsid w:val="102869DB"/>
    <w:rsid w:val="10A95523"/>
    <w:rsid w:val="10E70644"/>
    <w:rsid w:val="110A4333"/>
    <w:rsid w:val="12C14C41"/>
    <w:rsid w:val="12ED442E"/>
    <w:rsid w:val="133A1634"/>
    <w:rsid w:val="13BD743A"/>
    <w:rsid w:val="14643D5A"/>
    <w:rsid w:val="15CC1BB7"/>
    <w:rsid w:val="16CB4564"/>
    <w:rsid w:val="16FB7986"/>
    <w:rsid w:val="18AD22E9"/>
    <w:rsid w:val="1975278C"/>
    <w:rsid w:val="199A6DDF"/>
    <w:rsid w:val="19B72B7E"/>
    <w:rsid w:val="19FB22BA"/>
    <w:rsid w:val="1A0E3AB4"/>
    <w:rsid w:val="1A795D39"/>
    <w:rsid w:val="1B9E0A03"/>
    <w:rsid w:val="1CD46F6C"/>
    <w:rsid w:val="1E0D658A"/>
    <w:rsid w:val="1F817D96"/>
    <w:rsid w:val="1F9951FF"/>
    <w:rsid w:val="1FC551B5"/>
    <w:rsid w:val="20126062"/>
    <w:rsid w:val="20531852"/>
    <w:rsid w:val="210B1CAC"/>
    <w:rsid w:val="215064DE"/>
    <w:rsid w:val="22462CF1"/>
    <w:rsid w:val="22D72490"/>
    <w:rsid w:val="234B3323"/>
    <w:rsid w:val="23C860B3"/>
    <w:rsid w:val="245D1763"/>
    <w:rsid w:val="245E26FA"/>
    <w:rsid w:val="260C7AAD"/>
    <w:rsid w:val="283536C5"/>
    <w:rsid w:val="28667C49"/>
    <w:rsid w:val="286A598B"/>
    <w:rsid w:val="29F70417"/>
    <w:rsid w:val="2BC56137"/>
    <w:rsid w:val="2D01290C"/>
    <w:rsid w:val="2D207B59"/>
    <w:rsid w:val="2DE57862"/>
    <w:rsid w:val="2DFF51EF"/>
    <w:rsid w:val="2ECE0A3B"/>
    <w:rsid w:val="2FDB53C0"/>
    <w:rsid w:val="30B71989"/>
    <w:rsid w:val="315A3792"/>
    <w:rsid w:val="319E0088"/>
    <w:rsid w:val="31E002FA"/>
    <w:rsid w:val="32765A44"/>
    <w:rsid w:val="32AC4BAF"/>
    <w:rsid w:val="32F76F0A"/>
    <w:rsid w:val="331F0A2B"/>
    <w:rsid w:val="331F3816"/>
    <w:rsid w:val="3425795C"/>
    <w:rsid w:val="351E0FBF"/>
    <w:rsid w:val="3532065C"/>
    <w:rsid w:val="3942025E"/>
    <w:rsid w:val="3951224F"/>
    <w:rsid w:val="3A263E74"/>
    <w:rsid w:val="3A9C399E"/>
    <w:rsid w:val="3B640E61"/>
    <w:rsid w:val="3C7A386B"/>
    <w:rsid w:val="3D792D3C"/>
    <w:rsid w:val="3D7D39C6"/>
    <w:rsid w:val="3DBB7565"/>
    <w:rsid w:val="3ED862C8"/>
    <w:rsid w:val="3EF566CC"/>
    <w:rsid w:val="3FE67B95"/>
    <w:rsid w:val="40A610D2"/>
    <w:rsid w:val="42AF5166"/>
    <w:rsid w:val="42DA064F"/>
    <w:rsid w:val="43833767"/>
    <w:rsid w:val="43BD7F8E"/>
    <w:rsid w:val="44052AA3"/>
    <w:rsid w:val="442C432A"/>
    <w:rsid w:val="44467EF0"/>
    <w:rsid w:val="45101210"/>
    <w:rsid w:val="451172DF"/>
    <w:rsid w:val="45267002"/>
    <w:rsid w:val="461D72AB"/>
    <w:rsid w:val="473A07C7"/>
    <w:rsid w:val="476B4E24"/>
    <w:rsid w:val="477409A8"/>
    <w:rsid w:val="47826E25"/>
    <w:rsid w:val="480A63EB"/>
    <w:rsid w:val="489177E2"/>
    <w:rsid w:val="48C1708E"/>
    <w:rsid w:val="491237A9"/>
    <w:rsid w:val="4B02564D"/>
    <w:rsid w:val="4B183DBB"/>
    <w:rsid w:val="4CFB03E1"/>
    <w:rsid w:val="4DDB0999"/>
    <w:rsid w:val="4DE566F3"/>
    <w:rsid w:val="4F304531"/>
    <w:rsid w:val="4F3B50DC"/>
    <w:rsid w:val="503C55B8"/>
    <w:rsid w:val="50584679"/>
    <w:rsid w:val="50662865"/>
    <w:rsid w:val="50EF43D0"/>
    <w:rsid w:val="52232F05"/>
    <w:rsid w:val="52374280"/>
    <w:rsid w:val="52CB6777"/>
    <w:rsid w:val="53442701"/>
    <w:rsid w:val="547640D3"/>
    <w:rsid w:val="54A765F1"/>
    <w:rsid w:val="5777D4F5"/>
    <w:rsid w:val="581B3CFC"/>
    <w:rsid w:val="589570CB"/>
    <w:rsid w:val="591B5F26"/>
    <w:rsid w:val="59FD5A9E"/>
    <w:rsid w:val="5B0B23C8"/>
    <w:rsid w:val="5B5945C5"/>
    <w:rsid w:val="5C1A53FF"/>
    <w:rsid w:val="5C6507D2"/>
    <w:rsid w:val="5EBD5B0D"/>
    <w:rsid w:val="5EEE084A"/>
    <w:rsid w:val="5FC6BB1E"/>
    <w:rsid w:val="5FF720F1"/>
    <w:rsid w:val="606D309A"/>
    <w:rsid w:val="615C160D"/>
    <w:rsid w:val="623103B6"/>
    <w:rsid w:val="6268190D"/>
    <w:rsid w:val="6332603D"/>
    <w:rsid w:val="64671727"/>
    <w:rsid w:val="64EC1602"/>
    <w:rsid w:val="65B04F76"/>
    <w:rsid w:val="65C9550E"/>
    <w:rsid w:val="66A933C3"/>
    <w:rsid w:val="67227CC9"/>
    <w:rsid w:val="67437A3D"/>
    <w:rsid w:val="678D3C58"/>
    <w:rsid w:val="67C43A69"/>
    <w:rsid w:val="67D03724"/>
    <w:rsid w:val="67F178E9"/>
    <w:rsid w:val="690124C3"/>
    <w:rsid w:val="69604803"/>
    <w:rsid w:val="6A730DAD"/>
    <w:rsid w:val="6A905686"/>
    <w:rsid w:val="6B754418"/>
    <w:rsid w:val="6BA54DB6"/>
    <w:rsid w:val="6E5A3E2A"/>
    <w:rsid w:val="70DC329D"/>
    <w:rsid w:val="712678D6"/>
    <w:rsid w:val="71931FAF"/>
    <w:rsid w:val="72A64C4F"/>
    <w:rsid w:val="737D59BA"/>
    <w:rsid w:val="745313C9"/>
    <w:rsid w:val="74DD43BC"/>
    <w:rsid w:val="74DE41A5"/>
    <w:rsid w:val="75526991"/>
    <w:rsid w:val="76235C8A"/>
    <w:rsid w:val="764B35A7"/>
    <w:rsid w:val="772D6DD0"/>
    <w:rsid w:val="77A23E02"/>
    <w:rsid w:val="77C37683"/>
    <w:rsid w:val="79FF515B"/>
    <w:rsid w:val="7A0A6111"/>
    <w:rsid w:val="7A0B3779"/>
    <w:rsid w:val="7A6301DE"/>
    <w:rsid w:val="7B275BDA"/>
    <w:rsid w:val="7B3C0229"/>
    <w:rsid w:val="7B854078"/>
    <w:rsid w:val="7CC13E01"/>
    <w:rsid w:val="7D1F7212"/>
    <w:rsid w:val="7D32358D"/>
    <w:rsid w:val="7DB111FB"/>
    <w:rsid w:val="7E9F11B4"/>
    <w:rsid w:val="7F2F36CA"/>
    <w:rsid w:val="7FC69637"/>
    <w:rsid w:val="7FFDB408"/>
    <w:rsid w:val="CBFF70E0"/>
    <w:rsid w:val="EEABED75"/>
    <w:rsid w:val="FB36E1A6"/>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widowControl w:val="0"/>
      <w:spacing w:before="0" w:after="120"/>
      <w:ind w:left="0" w:right="0"/>
      <w:jc w:val="both"/>
    </w:pPr>
    <w:rPr>
      <w:rFonts w:ascii="Calibri" w:hAnsi="Calibri" w:eastAsia="楷体_GB2312" w:cs="永中宋体"/>
      <w:kern w:val="0"/>
      <w:sz w:val="20"/>
      <w:szCs w:val="20"/>
      <w:lang w:val="en-US" w:eastAsia="zh-CN" w:bidi="ar-SA"/>
    </w:rPr>
  </w:style>
  <w:style w:type="paragraph" w:styleId="3">
    <w:name w:val="Body Text Indent"/>
    <w:basedOn w:val="1"/>
    <w:next w:val="4"/>
    <w:unhideWhenUsed/>
    <w:qFormat/>
    <w:uiPriority w:val="99"/>
    <w:pPr>
      <w:widowControl/>
      <w:spacing w:after="120"/>
      <w:ind w:left="420" w:leftChars="200"/>
      <w:jc w:val="left"/>
    </w:pPr>
    <w:rPr>
      <w:rFonts w:ascii="宋体" w:hAnsi="宋体" w:eastAsia="宋体" w:cs="宋体"/>
      <w:kern w:val="0"/>
      <w:sz w:val="24"/>
    </w:rPr>
  </w:style>
  <w:style w:type="paragraph" w:styleId="4">
    <w:name w:val="Body Text First Indent 2"/>
    <w:basedOn w:val="3"/>
    <w:next w:val="1"/>
    <w:unhideWhenUsed/>
    <w:qFormat/>
    <w:uiPriority w:val="99"/>
    <w:pPr>
      <w:ind w:firstLine="420" w:firstLineChars="200"/>
    </w:pPr>
  </w:style>
  <w:style w:type="paragraph" w:styleId="5">
    <w:name w:val="Balloon Text"/>
    <w:basedOn w:val="1"/>
    <w:link w:val="15"/>
    <w:semiHidden/>
    <w:unhideWhenUsed/>
    <w:qFormat/>
    <w:uiPriority w:val="99"/>
    <w:rPr>
      <w:sz w:val="18"/>
      <w:szCs w:val="18"/>
    </w:r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footnote text"/>
    <w:basedOn w:val="1"/>
    <w:next w:val="4"/>
    <w:semiHidden/>
    <w:qFormat/>
    <w:uiPriority w:val="0"/>
    <w:pPr>
      <w:snapToGrid w:val="0"/>
      <w:jc w:val="left"/>
    </w:pPr>
    <w:rPr>
      <w:sz w:val="18"/>
      <w:szCs w:val="18"/>
    </w:rPr>
  </w:style>
  <w:style w:type="character" w:customStyle="1" w:styleId="11">
    <w:name w:val="页眉 Char"/>
    <w:basedOn w:val="10"/>
    <w:link w:val="7"/>
    <w:qFormat/>
    <w:uiPriority w:val="99"/>
    <w:rPr>
      <w:sz w:val="18"/>
      <w:szCs w:val="18"/>
    </w:rPr>
  </w:style>
  <w:style w:type="character" w:customStyle="1" w:styleId="12">
    <w:name w:val="页脚 Char"/>
    <w:basedOn w:val="10"/>
    <w:link w:val="6"/>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Char"/>
    <w:basedOn w:val="10"/>
    <w:link w:val="5"/>
    <w:semiHidden/>
    <w:qFormat/>
    <w:uiPriority w:val="99"/>
    <w:rPr>
      <w:sz w:val="18"/>
      <w:szCs w:val="18"/>
    </w:rPr>
  </w:style>
  <w:style w:type="character" w:customStyle="1" w:styleId="16">
    <w:name w:val="font01"/>
    <w:basedOn w:val="10"/>
    <w:qFormat/>
    <w:uiPriority w:val="0"/>
    <w:rPr>
      <w:rFonts w:hint="eastAsia" w:ascii="宋体" w:hAnsi="宋体" w:eastAsia="宋体" w:cs="宋体"/>
      <w:color w:val="000000"/>
      <w:sz w:val="22"/>
      <w:szCs w:val="22"/>
      <w:u w:val="none"/>
    </w:rPr>
  </w:style>
  <w:style w:type="character" w:customStyle="1" w:styleId="17">
    <w:name w:val="font21"/>
    <w:basedOn w:val="10"/>
    <w:qFormat/>
    <w:uiPriority w:val="0"/>
    <w:rPr>
      <w:rFonts w:hint="eastAsia" w:ascii="宋体" w:hAnsi="宋体" w:eastAsia="宋体" w:cs="宋体"/>
      <w:color w:val="000000"/>
      <w:sz w:val="24"/>
      <w:szCs w:val="24"/>
      <w:u w:val="none"/>
    </w:rPr>
  </w:style>
  <w:style w:type="character" w:customStyle="1" w:styleId="18">
    <w:name w:val="font11"/>
    <w:basedOn w:val="10"/>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7557</Words>
  <Characters>8440</Characters>
  <Lines>63</Lines>
  <Paragraphs>18</Paragraphs>
  <TotalTime>1</TotalTime>
  <ScaleCrop>false</ScaleCrop>
  <LinksUpToDate>false</LinksUpToDate>
  <CharactersWithSpaces>9499</CharactersWithSpaces>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2020-07-04T18:32:00Z</dcterms:created>
  <dc:creator>李航 null</dc:creator>
  <cp:lastModifiedBy>朱胜 10.105.176.231</cp:lastModifiedBy>
  <cp:lastPrinted>2023-08-15T09:28:00Z</cp:lastPrinted>
  <dcterms:modified xsi:type="dcterms:W3CDTF">2024-09-26T02:58:37Z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y fmtid="{D5CDD505-2E9C-101B-9397-08002B2CF9AE}" pid="3" name="ICV">
    <vt:lpwstr>39B453BBF4D940FA9EAAB88F97720180_12</vt:lpwstr>
  </property>
</Properties>
</file>